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A2" w:rsidRDefault="002A39A2" w:rsidP="00A63649">
      <w:pPr>
        <w:jc w:val="right"/>
      </w:pPr>
      <w:r>
        <w:rPr>
          <w:noProof/>
          <w:lang w:eastAsia="ru-RU"/>
        </w:rPr>
        <w:drawing>
          <wp:inline distT="0" distB="0" distL="0" distR="0">
            <wp:extent cx="2657475" cy="900467"/>
            <wp:effectExtent l="0" t="0" r="0" b="0"/>
            <wp:docPr id="4" name="Рисунок 4" descr="C:\Users\GluhovaMN\Documents\конференции и встречи\РСПП ежегодная конференция\2016\nrb2016_logo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luhovaMN\Documents\конференции и встречи\РСПП ежегодная конференция\2016\nrb2016_logo_ru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41" cy="90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9A2" w:rsidRDefault="002A39A2" w:rsidP="00A64640">
      <w:pPr>
        <w:spacing w:line="240" w:lineRule="auto"/>
        <w:jc w:val="right"/>
      </w:pPr>
    </w:p>
    <w:p w:rsidR="003B2467" w:rsidRDefault="00A63649" w:rsidP="00A64640">
      <w:pPr>
        <w:spacing w:line="240" w:lineRule="auto"/>
        <w:jc w:val="right"/>
      </w:pPr>
      <w:r>
        <w:t>Проект</w:t>
      </w:r>
    </w:p>
    <w:p w:rsidR="009D1487" w:rsidRDefault="009D1487" w:rsidP="00A64640">
      <w:pPr>
        <w:spacing w:line="240" w:lineRule="auto"/>
      </w:pPr>
    </w:p>
    <w:p w:rsidR="002D613E" w:rsidRDefault="002D613E" w:rsidP="00A64640">
      <w:pPr>
        <w:spacing w:line="240" w:lineRule="auto"/>
      </w:pPr>
    </w:p>
    <w:p w:rsidR="002D613E" w:rsidRDefault="002D613E" w:rsidP="00A64640">
      <w:pPr>
        <w:spacing w:line="240" w:lineRule="auto"/>
      </w:pPr>
    </w:p>
    <w:p w:rsidR="00A63649" w:rsidRPr="00A63649" w:rsidRDefault="00A63649" w:rsidP="003032D5">
      <w:pPr>
        <w:spacing w:line="240" w:lineRule="auto"/>
        <w:jc w:val="center"/>
        <w:rPr>
          <w:b/>
        </w:rPr>
      </w:pPr>
      <w:r w:rsidRPr="00A63649">
        <w:rPr>
          <w:b/>
        </w:rPr>
        <w:t>Резолюция Налогового форума «Фискальная нагрузка на российскую экономику: налоги и неналоговые платежи»</w:t>
      </w:r>
    </w:p>
    <w:p w:rsidR="00A63649" w:rsidRDefault="00A63649" w:rsidP="003032D5">
      <w:pPr>
        <w:spacing w:line="240" w:lineRule="auto"/>
      </w:pPr>
    </w:p>
    <w:p w:rsidR="00A63649" w:rsidRDefault="00280DD9" w:rsidP="003032D5">
      <w:pPr>
        <w:spacing w:line="240" w:lineRule="auto"/>
        <w:ind w:firstLine="708"/>
        <w:jc w:val="both"/>
      </w:pPr>
      <w:r>
        <w:t xml:space="preserve">В </w:t>
      </w:r>
      <w:proofErr w:type="gramStart"/>
      <w:r>
        <w:t>условиях</w:t>
      </w:r>
      <w:proofErr w:type="gramEnd"/>
      <w:r>
        <w:t xml:space="preserve"> ограниченного спроса и высокой стоимости заемного финансирования уровень фискальной нагрузки становится критически важным </w:t>
      </w:r>
      <w:r w:rsidR="007A42F2">
        <w:t>и для развития, и для функционирования компаний.</w:t>
      </w:r>
    </w:p>
    <w:p w:rsidR="007A42F2" w:rsidRDefault="007A42F2" w:rsidP="003032D5">
      <w:pPr>
        <w:spacing w:line="240" w:lineRule="auto"/>
        <w:ind w:firstLine="708"/>
        <w:jc w:val="both"/>
      </w:pPr>
      <w:r>
        <w:t>В России до настоящего времени не существовало единой методологии оценки совокупного уровня фискальной нагрузки, признанной и компаниями, и органами власти, и экспертами.</w:t>
      </w:r>
      <w:r w:rsidR="004A757F">
        <w:t xml:space="preserve"> При этом даже существующие о</w:t>
      </w:r>
      <w:r w:rsidR="004A757F" w:rsidRPr="004A757F">
        <w:t>ценк</w:t>
      </w:r>
      <w:r w:rsidR="004A757F">
        <w:t>и</w:t>
      </w:r>
      <w:r w:rsidR="004A757F" w:rsidRPr="004A757F">
        <w:t xml:space="preserve"> фискальной нагрузки</w:t>
      </w:r>
      <w:r w:rsidR="004A757F">
        <w:t xml:space="preserve"> не стали </w:t>
      </w:r>
      <w:r w:rsidR="004A757F" w:rsidRPr="004A757F">
        <w:t xml:space="preserve">механизмом обеспечения эффективности политики </w:t>
      </w:r>
      <w:r w:rsidR="004A757F">
        <w:t xml:space="preserve">по развитию экономики </w:t>
      </w:r>
      <w:r w:rsidR="004A757F" w:rsidRPr="004A757F">
        <w:t xml:space="preserve">через установление оптимального </w:t>
      </w:r>
      <w:r w:rsidR="004A757F">
        <w:t>фискального</w:t>
      </w:r>
      <w:r w:rsidR="004A757F" w:rsidRPr="004A757F">
        <w:t xml:space="preserve"> бремени.</w:t>
      </w:r>
      <w:r w:rsidR="009A0A1F" w:rsidRPr="009A0A1F">
        <w:t xml:space="preserve"> </w:t>
      </w:r>
    </w:p>
    <w:p w:rsidR="007A42F2" w:rsidRDefault="007A42F2" w:rsidP="003032D5">
      <w:pPr>
        <w:spacing w:line="240" w:lineRule="auto"/>
        <w:ind w:firstLine="708"/>
        <w:jc w:val="both"/>
      </w:pPr>
      <w:r>
        <w:t>Комитет</w:t>
      </w:r>
      <w:r w:rsidR="009A0A1F">
        <w:t>ом</w:t>
      </w:r>
      <w:r>
        <w:t xml:space="preserve"> РСПП по налоговой политике </w:t>
      </w:r>
      <w:r w:rsidR="009A0A1F">
        <w:t xml:space="preserve">совместно с </w:t>
      </w:r>
      <w:r w:rsidR="009A0A1F" w:rsidRPr="009A0A1F">
        <w:t>привлеченными экспертами под руководством профессора Высшей школы экономики, Директора Института стратегического анализ</w:t>
      </w:r>
      <w:proofErr w:type="gramStart"/>
      <w:r w:rsidR="009A0A1F" w:rsidRPr="009A0A1F">
        <w:t>а ООО</w:t>
      </w:r>
      <w:proofErr w:type="gramEnd"/>
      <w:r w:rsidR="009A0A1F" w:rsidRPr="009A0A1F">
        <w:t xml:space="preserve"> «ФБК» </w:t>
      </w:r>
      <w:r w:rsidR="00844492" w:rsidRPr="009A0A1F">
        <w:t xml:space="preserve">И.А. </w:t>
      </w:r>
      <w:r w:rsidR="009A0A1F" w:rsidRPr="009A0A1F">
        <w:t xml:space="preserve">Николаева </w:t>
      </w:r>
      <w:r w:rsidR="009A0A1F">
        <w:t>в соответствии с поручением Бюро Правления</w:t>
      </w:r>
      <w:r w:rsidR="00844492">
        <w:t xml:space="preserve"> РСПП и Помощника Президента Российской Федерации А.Р. Белоусова </w:t>
      </w:r>
      <w:proofErr w:type="gramStart"/>
      <w:r w:rsidR="009A0A1F" w:rsidRPr="009A0A1F">
        <w:t>подготовлены предложения по единой методологии оценки совокупного уровня фискальной нагрузки на бизнес и проведены</w:t>
      </w:r>
      <w:proofErr w:type="gramEnd"/>
      <w:r w:rsidR="009A0A1F" w:rsidRPr="009A0A1F">
        <w:t xml:space="preserve"> расчеты на её основе</w:t>
      </w:r>
      <w:r w:rsidR="008C3E7D">
        <w:t>.</w:t>
      </w:r>
    </w:p>
    <w:p w:rsidR="006E6B3C" w:rsidRDefault="006E6B3C" w:rsidP="003032D5">
      <w:pPr>
        <w:spacing w:line="240" w:lineRule="auto"/>
        <w:ind w:firstLine="708"/>
        <w:jc w:val="both"/>
      </w:pPr>
      <w:r w:rsidRPr="006E6B3C">
        <w:t xml:space="preserve">Актуальность проблемы обусловлена тем, что ни одна из применяемых в настоящее время методик не удовлетворяет требованиям объективного макроэкономического анализа. </w:t>
      </w:r>
      <w:proofErr w:type="gramStart"/>
      <w:r w:rsidRPr="006E6B3C">
        <w:t>Фискальную (налоговую) нагрузку И.А. Николаев предложил рассчитывать как соотношение суммы налоговых платежей в консолидированный бюджет РФ, страховых взносов на обязательное пенсионное страхование, обязательное медицинское страхование, обязательное социальное страхование и страховых премий на обязательное страхование опасных производственных объектов, за вычетом налога на доходы физических лиц (НДФЛ), к валовой добавленной стоимости за вычетом амортизации.</w:t>
      </w:r>
      <w:proofErr w:type="gramEnd"/>
    </w:p>
    <w:p w:rsidR="00FC48B3" w:rsidRDefault="00FC48B3" w:rsidP="003032D5">
      <w:pPr>
        <w:spacing w:line="240" w:lineRule="auto"/>
        <w:ind w:firstLine="708"/>
        <w:jc w:val="both"/>
      </w:pPr>
      <w:r>
        <w:t>Главный вывод - н</w:t>
      </w:r>
      <w:r w:rsidRPr="008E3445">
        <w:t xml:space="preserve">ынешний уровень фискальной нагрузки </w:t>
      </w:r>
      <w:r w:rsidR="00844492">
        <w:t xml:space="preserve">в России </w:t>
      </w:r>
      <w:r w:rsidRPr="008E3445">
        <w:t xml:space="preserve">является чрезмерным, он существенно выше аналогичного уровня кризисных 2008-2009 годов. </w:t>
      </w:r>
      <w:r w:rsidRPr="004A757F">
        <w:t>Общий показатель фискальной</w:t>
      </w:r>
      <w:r>
        <w:t xml:space="preserve"> </w:t>
      </w:r>
      <w:r w:rsidRPr="004A757F">
        <w:t>нагрузки составил в 2014 г. 26,2%, что существенно выше показателей 2009 г. – 21,4% и даже 2008 г. – 25,3%</w:t>
      </w:r>
      <w:r>
        <w:t xml:space="preserve">, как и </w:t>
      </w:r>
      <w:r w:rsidRPr="004A757F">
        <w:t>2013 г. – 25,3%.</w:t>
      </w:r>
      <w:r w:rsidRPr="008E3445">
        <w:t xml:space="preserve"> Налоговая нагрузка должна быть снижена.</w:t>
      </w:r>
    </w:p>
    <w:p w:rsidR="00FC48B3" w:rsidRDefault="00FC48B3" w:rsidP="003032D5">
      <w:pPr>
        <w:spacing w:line="240" w:lineRule="auto"/>
        <w:ind w:firstLine="708"/>
        <w:jc w:val="both"/>
      </w:pPr>
      <w:proofErr w:type="spellStart"/>
      <w:r>
        <w:lastRenderedPageBreak/>
        <w:t>Неповышение</w:t>
      </w:r>
      <w:proofErr w:type="spellEnd"/>
      <w:r>
        <w:t xml:space="preserve"> (замораживание) налогов и отдельных обязательных страховых платежей не гарантирует </w:t>
      </w:r>
      <w:proofErr w:type="spellStart"/>
      <w:r>
        <w:t>неповышения</w:t>
      </w:r>
      <w:proofErr w:type="spellEnd"/>
      <w:r>
        <w:t xml:space="preserve"> фискальной нагрузки. Объявленный мораторий не распространяется на значительную часть неналоговых платежей, в </w:t>
      </w:r>
      <w:proofErr w:type="gramStart"/>
      <w:r>
        <w:t>отношении</w:t>
      </w:r>
      <w:proofErr w:type="gramEnd"/>
      <w:r>
        <w:t xml:space="preserve"> ряда налогов и сборов уже принято решение об их повышении. Ещё большая проблема состоит в том, что </w:t>
      </w:r>
      <w:proofErr w:type="spellStart"/>
      <w:r>
        <w:t>неповышение</w:t>
      </w:r>
      <w:proofErr w:type="spellEnd"/>
      <w:r>
        <w:t xml:space="preserve"> ставок налогов не гарантирует </w:t>
      </w:r>
      <w:proofErr w:type="spellStart"/>
      <w:r>
        <w:t>неповышения</w:t>
      </w:r>
      <w:proofErr w:type="spellEnd"/>
      <w:r>
        <w:t xml:space="preserve"> фискальной нагрузки, </w:t>
      </w:r>
      <w:r w:rsidRPr="00057503">
        <w:t>потому что последняя зависит не только от</w:t>
      </w:r>
      <w:r w:rsidR="00057503" w:rsidRPr="00057503">
        <w:t xml:space="preserve"> суммарной</w:t>
      </w:r>
      <w:r w:rsidRPr="00057503">
        <w:t xml:space="preserve"> величины налогов, </w:t>
      </w:r>
      <w:r w:rsidR="00057503" w:rsidRPr="00057503">
        <w:t>но и от налоговой базы (</w:t>
      </w:r>
      <w:r w:rsidRPr="00057503">
        <w:t>ВВП</w:t>
      </w:r>
      <w:r w:rsidR="00057503" w:rsidRPr="00057503">
        <w:t xml:space="preserve">, </w:t>
      </w:r>
      <w:r w:rsidRPr="00057503">
        <w:t xml:space="preserve">величины оборота предприятий, </w:t>
      </w:r>
      <w:r w:rsidR="00057503" w:rsidRPr="00057503">
        <w:t xml:space="preserve">объёма </w:t>
      </w:r>
      <w:r w:rsidRPr="00057503">
        <w:t>валовой добавленной стоимости</w:t>
      </w:r>
      <w:r w:rsidR="00057503" w:rsidRPr="00057503">
        <w:t xml:space="preserve"> и пр.</w:t>
      </w:r>
      <w:r w:rsidRPr="00057503">
        <w:t>).</w:t>
      </w:r>
      <w:r w:rsidRPr="009169F2">
        <w:t xml:space="preserve"> </w:t>
      </w:r>
    </w:p>
    <w:p w:rsidR="00FC48B3" w:rsidRDefault="00FC48B3" w:rsidP="003032D5">
      <w:pPr>
        <w:spacing w:line="240" w:lineRule="auto"/>
        <w:ind w:firstLine="708"/>
        <w:jc w:val="both"/>
      </w:pPr>
      <w:r>
        <w:t xml:space="preserve">Необходимо определить статус обязательных платежей, по которым администратором является не орган исполнительной власти (пример – являющаяся условием ведения определенного вида предпринимательской деятельности плата за обязательное членство в саморегулируемой организации принципиально не отличается от платы за лицензию, которую дает орган власти). </w:t>
      </w:r>
    </w:p>
    <w:p w:rsidR="00FC48B3" w:rsidRDefault="00FC48B3" w:rsidP="003032D5">
      <w:pPr>
        <w:spacing w:line="240" w:lineRule="auto"/>
        <w:ind w:firstLine="708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тарифов субъектов естественных монополий необходимо отметить, что в целом, учитывая, что размер тарифов регулируется органами власти, необходимо оценить целесообразность их учета в совокупной нагрузке на бизнес. </w:t>
      </w:r>
      <w:r w:rsidR="00057503">
        <w:t>Требуется проработка вопроса о возможности и целесообразности расчёта тарифной нагрузки (по аналогии с налоговой нагрузкой).</w:t>
      </w:r>
    </w:p>
    <w:p w:rsidR="00FC48B3" w:rsidRDefault="00FC48B3" w:rsidP="003032D5">
      <w:pPr>
        <w:spacing w:line="240" w:lineRule="auto"/>
        <w:ind w:firstLine="708"/>
        <w:jc w:val="both"/>
      </w:pPr>
      <w:r>
        <w:t>Решение задачи совершенствования администрирования в фискальной сфере не должно приводить к росту нагрузки на бизнес. Обсуждающаяся отмена пороговых значений при уплате взносов в ПФР и ФСС должна быть компенсирована снижением совокупной ставки взносов в систему обязательного социального страхования.</w:t>
      </w:r>
    </w:p>
    <w:p w:rsidR="00FF0961" w:rsidRPr="009169F2" w:rsidRDefault="00FF0961" w:rsidP="003032D5">
      <w:pPr>
        <w:spacing w:line="240" w:lineRule="auto"/>
        <w:ind w:firstLine="708"/>
        <w:jc w:val="both"/>
      </w:pPr>
      <w:r>
        <w:t xml:space="preserve">Есть вопросы сопоставления уровня отраслевой нагрузки. </w:t>
      </w:r>
      <w:proofErr w:type="gramStart"/>
      <w:r>
        <w:t>С</w:t>
      </w:r>
      <w:r w:rsidRPr="009169F2">
        <w:t>равнение между видами экономической деятельности, как правило, некорректно ввиду того, что видам деятельности присущи свойственные только им особенности.</w:t>
      </w:r>
      <w:proofErr w:type="gramEnd"/>
      <w:r w:rsidRPr="009169F2">
        <w:t xml:space="preserve"> Например, номинально высокий уровень фискальной (налоговой) нагрузки в добыче полезных ископаемых связан, в большой степени, с тем, что этот вид деятельности облагается налогом на добычу полезных ископаемых. В нескольких видах деятельности (образование, государственное управление, здравоохранение) очень велика доля бюджетного сектора, о налогообложении которого можно говорить с известной степенью условности.</w:t>
      </w:r>
    </w:p>
    <w:p w:rsidR="00FC48B3" w:rsidRDefault="00FC48B3" w:rsidP="003032D5">
      <w:pPr>
        <w:spacing w:line="240" w:lineRule="auto"/>
        <w:ind w:firstLine="708"/>
        <w:jc w:val="both"/>
      </w:pPr>
      <w:r w:rsidRPr="009169F2">
        <w:t>Для экономических субъектов, для экономики страны важнейшее значение имеет именно фискальная нагрузка – то, сколько плательщики вынуждены платить за счет средств, которые могли бы пойти на собственное развитие.</w:t>
      </w:r>
    </w:p>
    <w:p w:rsidR="00415582" w:rsidRDefault="00415582" w:rsidP="003032D5">
      <w:pPr>
        <w:spacing w:line="240" w:lineRule="auto"/>
        <w:ind w:firstLine="709"/>
        <w:jc w:val="both"/>
      </w:pPr>
    </w:p>
    <w:p w:rsidR="00776086" w:rsidRDefault="00776086" w:rsidP="003032D5">
      <w:pPr>
        <w:spacing w:line="240" w:lineRule="auto"/>
        <w:ind w:firstLine="708"/>
        <w:jc w:val="both"/>
      </w:pPr>
      <w:r>
        <w:t>Предложения:</w:t>
      </w:r>
    </w:p>
    <w:p w:rsidR="00410639" w:rsidRDefault="006E6B3C" w:rsidP="003032D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>И</w:t>
      </w:r>
      <w:r w:rsidR="00410639">
        <w:t>спользование</w:t>
      </w:r>
      <w:r w:rsidR="00F14732">
        <w:t xml:space="preserve"> федеральными органами исполнительной власти</w:t>
      </w:r>
      <w:r w:rsidR="00410639">
        <w:t xml:space="preserve"> </w:t>
      </w:r>
      <w:r>
        <w:t xml:space="preserve">согласованной </w:t>
      </w:r>
      <w:r w:rsidR="00410639">
        <w:t>методологии РСПП при определении уровня фискальной нагрузки н</w:t>
      </w:r>
      <w:r w:rsidR="00FC48B3">
        <w:t xml:space="preserve">а бизнес в Российской Федерации с учетом следующих основных </w:t>
      </w:r>
      <w:r w:rsidR="00F14732">
        <w:t>положений</w:t>
      </w:r>
      <w:r>
        <w:t xml:space="preserve"> методологии</w:t>
      </w:r>
      <w:r w:rsidR="00FC48B3">
        <w:t>:</w:t>
      </w:r>
    </w:p>
    <w:p w:rsidR="00FC48B3" w:rsidRDefault="00FC48B3" w:rsidP="003032D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</w:pPr>
      <w:r w:rsidRPr="004A757F">
        <w:t>Фискальная нагрузка рассчитыва</w:t>
      </w:r>
      <w:r>
        <w:t>ется</w:t>
      </w:r>
      <w:r w:rsidRPr="004A757F">
        <w:t xml:space="preserve"> как соотношение суммы налоговых платежей в консолидированный бюджет РФ, страховых взносов на обязательное пенсионное страхование, обязательное медицинское страхование, обязательное социальное страхование и страховых премий на обязательное страхование опасных производственных объектов</w:t>
      </w:r>
      <w:r w:rsidRPr="006E6B3C">
        <w:t>,</w:t>
      </w:r>
      <w:r w:rsidRPr="004A757F">
        <w:t xml:space="preserve"> за вычетом налога на доходы физических лиц (НДФЛ), к валовой добавленной стоимости за вычетом амортизации. </w:t>
      </w:r>
    </w:p>
    <w:p w:rsidR="00FC48B3" w:rsidRDefault="00057503" w:rsidP="003032D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</w:pPr>
      <w:r>
        <w:t xml:space="preserve">Совершенствование методологии возможно за счёт включения в </w:t>
      </w:r>
      <w:r w:rsidR="00FC48B3">
        <w:t xml:space="preserve">расчет </w:t>
      </w:r>
      <w:r>
        <w:t>всех</w:t>
      </w:r>
      <w:r w:rsidR="006E6B3C">
        <w:t xml:space="preserve"> </w:t>
      </w:r>
      <w:r w:rsidR="00FC48B3">
        <w:t>прямо или косвенно устанавливаемы</w:t>
      </w:r>
      <w:r w:rsidR="006E6B3C">
        <w:t>х</w:t>
      </w:r>
      <w:r w:rsidR="00FC48B3">
        <w:t>/регулируемы</w:t>
      </w:r>
      <w:r w:rsidR="006E6B3C">
        <w:t>х</w:t>
      </w:r>
      <w:r w:rsidR="00FC48B3">
        <w:t xml:space="preserve"> государством платеж</w:t>
      </w:r>
      <w:r w:rsidR="006E6B3C">
        <w:t>ей.</w:t>
      </w:r>
      <w:r w:rsidR="006E6B3C" w:rsidRPr="006E6B3C">
        <w:t xml:space="preserve"> </w:t>
      </w:r>
    </w:p>
    <w:p w:rsidR="00FC48B3" w:rsidRPr="00057503" w:rsidRDefault="00A457FE" w:rsidP="003032D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</w:pPr>
      <w:r w:rsidRPr="00057503">
        <w:t>Включ</w:t>
      </w:r>
      <w:r w:rsidR="00F14732" w:rsidRPr="00057503">
        <w:t>ать</w:t>
      </w:r>
      <w:r w:rsidRPr="00057503">
        <w:t xml:space="preserve"> в </w:t>
      </w:r>
      <w:r w:rsidR="00FF0961" w:rsidRPr="00057503">
        <w:t>базовые трехлетние документы, определяющие политику в фискальной сфере,</w:t>
      </w:r>
      <w:r w:rsidRPr="00057503">
        <w:t xml:space="preserve"> наряду с оценкой фискальной нагрузки в целом по экономике, нефтегазовому и </w:t>
      </w:r>
      <w:proofErr w:type="spellStart"/>
      <w:r w:rsidRPr="00057503">
        <w:t>ненефтегазовому</w:t>
      </w:r>
      <w:proofErr w:type="spellEnd"/>
      <w:r w:rsidRPr="00057503">
        <w:t xml:space="preserve"> секторам</w:t>
      </w:r>
      <w:r w:rsidR="00F14732" w:rsidRPr="00057503">
        <w:t>,</w:t>
      </w:r>
      <w:r w:rsidRPr="00057503">
        <w:t xml:space="preserve"> информаци</w:t>
      </w:r>
      <w:r w:rsidR="00F14732" w:rsidRPr="00057503">
        <w:t>ю</w:t>
      </w:r>
      <w:r w:rsidRPr="00057503">
        <w:t xml:space="preserve"> по фискальной нагрузке по видам экономической деятельности. </w:t>
      </w:r>
    </w:p>
    <w:p w:rsidR="006E6B3C" w:rsidRPr="00057503" w:rsidRDefault="006E6B3C" w:rsidP="003032D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</w:pPr>
      <w:r w:rsidRPr="00057503">
        <w:t>Приводить информацию по фискальной нагрузке по видам экономической деятельности.</w:t>
      </w:r>
      <w:r w:rsidR="001E5A27" w:rsidRPr="00057503">
        <w:t xml:space="preserve"> </w:t>
      </w:r>
    </w:p>
    <w:p w:rsidR="006E6B3C" w:rsidRDefault="006E6B3C" w:rsidP="003032D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</w:pPr>
      <w:r>
        <w:t xml:space="preserve">Обеспечить свободный доступ предпринимательскому сообществу и экспертному сообществу к данным, требуемым для расчёта показателей фискальной нагрузки, для осуществления необходимого независимого контроля. </w:t>
      </w:r>
    </w:p>
    <w:p w:rsidR="009169F2" w:rsidRDefault="00776086" w:rsidP="003032D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proofErr w:type="gramStart"/>
      <w:r>
        <w:t xml:space="preserve">Формирование </w:t>
      </w:r>
      <w:r w:rsidR="00415582">
        <w:t>ежегодно</w:t>
      </w:r>
      <w:r>
        <w:t>го</w:t>
      </w:r>
      <w:r w:rsidR="00415582">
        <w:t xml:space="preserve"> комплексн</w:t>
      </w:r>
      <w:r>
        <w:t>ого</w:t>
      </w:r>
      <w:r w:rsidR="00415582">
        <w:t xml:space="preserve"> стратегическ</w:t>
      </w:r>
      <w:r>
        <w:t>ого</w:t>
      </w:r>
      <w:r w:rsidR="00415582">
        <w:t xml:space="preserve"> документ</w:t>
      </w:r>
      <w:r>
        <w:t>а</w:t>
      </w:r>
      <w:r w:rsidRPr="00776086">
        <w:t xml:space="preserve"> </w:t>
      </w:r>
      <w:r>
        <w:t>в формате «скользящей трехлетки»</w:t>
      </w:r>
      <w:r w:rsidR="00415582">
        <w:t>, определяющ</w:t>
      </w:r>
      <w:r>
        <w:t>его</w:t>
      </w:r>
      <w:r w:rsidR="00415582">
        <w:t xml:space="preserve"> основные направления политики в фискальной сфере по всем типам обязательных налоговых, страховых и иных неналоговых платежей и вносим</w:t>
      </w:r>
      <w:r w:rsidR="00410639">
        <w:t>ого</w:t>
      </w:r>
      <w:r w:rsidR="00415582">
        <w:t xml:space="preserve"> в Государственную Думу Федерального Собрания Российской Федерации вместе с проектом федерального бюджета</w:t>
      </w:r>
      <w:r w:rsidR="00410639">
        <w:t xml:space="preserve"> (взамен Основных направлений налоговой политики)</w:t>
      </w:r>
      <w:r w:rsidR="00415582">
        <w:t>.</w:t>
      </w:r>
      <w:r w:rsidR="009169F2">
        <w:t xml:space="preserve"> </w:t>
      </w:r>
      <w:proofErr w:type="gramEnd"/>
    </w:p>
    <w:p w:rsidR="009169F2" w:rsidRDefault="009169F2" w:rsidP="003032D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 xml:space="preserve">Участие РСПП в подготовке проекта федерального закона о порядке установления, исчисления </w:t>
      </w:r>
      <w:r w:rsidR="00157CDE">
        <w:t>и взимания неналоговых платежей:</w:t>
      </w:r>
    </w:p>
    <w:p w:rsidR="00415582" w:rsidRDefault="00776086" w:rsidP="003032D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</w:pPr>
      <w:r>
        <w:t>В</w:t>
      </w:r>
      <w:r w:rsidR="00415582">
        <w:t>ведение неналоговых платежей, включая размер ставок, порядок исчисления, сроки уплаты, базу для исчисления платежа и другие основные параметры возможно только законодательными актами</w:t>
      </w:r>
      <w:r>
        <w:t>.</w:t>
      </w:r>
    </w:p>
    <w:p w:rsidR="00415582" w:rsidRDefault="00776086" w:rsidP="003032D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</w:pPr>
      <w:r>
        <w:t>П</w:t>
      </w:r>
      <w:r w:rsidR="00415582">
        <w:t>ринятие решений по неналоговым платежам до принятия федерального бюджета на соответствующий период (по</w:t>
      </w:r>
      <w:r>
        <w:t xml:space="preserve"> аналогии с налогами и сборами).</w:t>
      </w:r>
    </w:p>
    <w:p w:rsidR="00415582" w:rsidRDefault="00776086" w:rsidP="003032D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</w:pPr>
      <w:proofErr w:type="gramStart"/>
      <w:r>
        <w:t>В</w:t>
      </w:r>
      <w:r w:rsidR="00415582">
        <w:t>ведение новых неналоговых платежей и корректировка ставок/баз по действующим не ранее 1 января следующ</w:t>
      </w:r>
      <w:r>
        <w:t>его за принятием решения года.</w:t>
      </w:r>
      <w:proofErr w:type="gramEnd"/>
    </w:p>
    <w:p w:rsidR="00415582" w:rsidRDefault="00776086" w:rsidP="003032D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</w:pPr>
      <w:r>
        <w:t>З</w:t>
      </w:r>
      <w:r w:rsidR="00415582">
        <w:t xml:space="preserve">аблаговременное принятие подзаконных актов, включая формы документов - минимум за </w:t>
      </w:r>
      <w:r>
        <w:t>2</w:t>
      </w:r>
      <w:r w:rsidR="00415582">
        <w:t xml:space="preserve"> месяц</w:t>
      </w:r>
      <w:r>
        <w:t>а до вступления в силу решения.</w:t>
      </w:r>
    </w:p>
    <w:p w:rsidR="00415582" w:rsidRDefault="00776086" w:rsidP="003032D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</w:pPr>
      <w:r>
        <w:t>Е</w:t>
      </w:r>
      <w:r w:rsidR="00415582">
        <w:t xml:space="preserve">диные принципы администрирования </w:t>
      </w:r>
      <w:r w:rsidR="00F55C32">
        <w:t>по аналогии с положениями Н</w:t>
      </w:r>
      <w:r>
        <w:t xml:space="preserve">алогового кодекса </w:t>
      </w:r>
      <w:r w:rsidR="00415582">
        <w:t xml:space="preserve">(система досудебного рассмотрения споров, информирование плательщиков, </w:t>
      </w:r>
      <w:r>
        <w:t>официальные разъяснения и т.д.).</w:t>
      </w:r>
    </w:p>
    <w:p w:rsidR="00057503" w:rsidRDefault="00776086" w:rsidP="003032D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</w:pPr>
      <w:r>
        <w:t>Ф</w:t>
      </w:r>
      <w:r w:rsidR="00415582">
        <w:t>ормирование личных кабинетов плательщиков</w:t>
      </w:r>
      <w:bookmarkStart w:id="0" w:name="_GoBack"/>
      <w:bookmarkEnd w:id="0"/>
      <w:r w:rsidR="00415582">
        <w:t xml:space="preserve"> неналоговых платежей для взаимодействия с администраторами платежей в электронном виде</w:t>
      </w:r>
      <w:r w:rsidR="008F28CB">
        <w:t xml:space="preserve">, </w:t>
      </w:r>
      <w:proofErr w:type="gramStart"/>
      <w:r w:rsidR="008F28CB">
        <w:t>единая</w:t>
      </w:r>
      <w:proofErr w:type="gramEnd"/>
      <w:r w:rsidR="008F28CB">
        <w:t xml:space="preserve"> ЭЦП для всех налоговых и неналоговых платежей</w:t>
      </w:r>
      <w:r w:rsidR="00415582">
        <w:t>.</w:t>
      </w:r>
      <w:r w:rsidR="00057503" w:rsidRPr="00057503">
        <w:t xml:space="preserve"> </w:t>
      </w:r>
    </w:p>
    <w:p w:rsidR="00415582" w:rsidRDefault="00057503" w:rsidP="003032D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 w:rsidRPr="006E6B3C">
        <w:t>Сни</w:t>
      </w:r>
      <w:r>
        <w:t xml:space="preserve">жение </w:t>
      </w:r>
      <w:r w:rsidR="006C610C">
        <w:t>фискальной</w:t>
      </w:r>
      <w:r w:rsidRPr="006E6B3C">
        <w:t xml:space="preserve"> нагрузк</w:t>
      </w:r>
      <w:r>
        <w:t>и</w:t>
      </w:r>
      <w:r w:rsidRPr="006E6B3C">
        <w:t xml:space="preserve"> на бизнес, так как нынешний её уровень является чрезмерным</w:t>
      </w:r>
      <w:r>
        <w:t>.</w:t>
      </w:r>
    </w:p>
    <w:sectPr w:rsidR="00415582" w:rsidSect="002D613E">
      <w:headerReference w:type="default" r:id="rId9"/>
      <w:pgSz w:w="11906" w:h="16838" w:code="9"/>
      <w:pgMar w:top="1134" w:right="1191" w:bottom="1134" w:left="119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7D" w:rsidRDefault="004B497D" w:rsidP="002A39A2">
      <w:pPr>
        <w:spacing w:line="240" w:lineRule="auto"/>
      </w:pPr>
      <w:r>
        <w:separator/>
      </w:r>
    </w:p>
  </w:endnote>
  <w:endnote w:type="continuationSeparator" w:id="0">
    <w:p w:rsidR="004B497D" w:rsidRDefault="004B497D" w:rsidP="002A3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7D" w:rsidRDefault="004B497D" w:rsidP="002A39A2">
      <w:pPr>
        <w:spacing w:line="240" w:lineRule="auto"/>
      </w:pPr>
      <w:r>
        <w:separator/>
      </w:r>
    </w:p>
  </w:footnote>
  <w:footnote w:type="continuationSeparator" w:id="0">
    <w:p w:rsidR="004B497D" w:rsidRDefault="004B497D" w:rsidP="002A39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478899"/>
      <w:docPartObj>
        <w:docPartGallery w:val="Page Numbers (Top of Page)"/>
        <w:docPartUnique/>
      </w:docPartObj>
    </w:sdtPr>
    <w:sdtEndPr/>
    <w:sdtContent>
      <w:p w:rsidR="002A39A2" w:rsidRDefault="005569C7" w:rsidP="002A39A2">
        <w:pPr>
          <w:pStyle w:val="a6"/>
          <w:jc w:val="center"/>
        </w:pPr>
        <w:r>
          <w:fldChar w:fldCharType="begin"/>
        </w:r>
        <w:r w:rsidR="002A39A2">
          <w:instrText>PAGE   \* MERGEFORMAT</w:instrText>
        </w:r>
        <w:r>
          <w:fldChar w:fldCharType="separate"/>
        </w:r>
        <w:r w:rsidR="002D613E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810B9"/>
    <w:multiLevelType w:val="hybridMultilevel"/>
    <w:tmpl w:val="C8D65E8C"/>
    <w:lvl w:ilvl="0" w:tplc="D0085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E52CC1"/>
    <w:multiLevelType w:val="hybridMultilevel"/>
    <w:tmpl w:val="3E06B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49"/>
    <w:rsid w:val="00057503"/>
    <w:rsid w:val="00065C8B"/>
    <w:rsid w:val="00125E54"/>
    <w:rsid w:val="00157CDE"/>
    <w:rsid w:val="00185EA2"/>
    <w:rsid w:val="001E5A27"/>
    <w:rsid w:val="00280DD9"/>
    <w:rsid w:val="002A39A2"/>
    <w:rsid w:val="002D613E"/>
    <w:rsid w:val="002E2A6B"/>
    <w:rsid w:val="003032D5"/>
    <w:rsid w:val="00350089"/>
    <w:rsid w:val="00350276"/>
    <w:rsid w:val="00384F2F"/>
    <w:rsid w:val="003B2467"/>
    <w:rsid w:val="003D3511"/>
    <w:rsid w:val="00410639"/>
    <w:rsid w:val="00415582"/>
    <w:rsid w:val="0042108C"/>
    <w:rsid w:val="004A757F"/>
    <w:rsid w:val="004B497D"/>
    <w:rsid w:val="00510C17"/>
    <w:rsid w:val="00540996"/>
    <w:rsid w:val="005569C7"/>
    <w:rsid w:val="006671E6"/>
    <w:rsid w:val="006C610C"/>
    <w:rsid w:val="006E6B3C"/>
    <w:rsid w:val="00705B7B"/>
    <w:rsid w:val="00776086"/>
    <w:rsid w:val="007A42F2"/>
    <w:rsid w:val="007D46CC"/>
    <w:rsid w:val="007F182E"/>
    <w:rsid w:val="00801322"/>
    <w:rsid w:val="008416E0"/>
    <w:rsid w:val="00844492"/>
    <w:rsid w:val="008C3E7D"/>
    <w:rsid w:val="008E3445"/>
    <w:rsid w:val="008F28CB"/>
    <w:rsid w:val="009169F2"/>
    <w:rsid w:val="009A0A1F"/>
    <w:rsid w:val="009D1487"/>
    <w:rsid w:val="00A01FC7"/>
    <w:rsid w:val="00A141E4"/>
    <w:rsid w:val="00A3759B"/>
    <w:rsid w:val="00A457FE"/>
    <w:rsid w:val="00A63649"/>
    <w:rsid w:val="00A64640"/>
    <w:rsid w:val="00A65670"/>
    <w:rsid w:val="00A770C0"/>
    <w:rsid w:val="00BE4912"/>
    <w:rsid w:val="00BF5452"/>
    <w:rsid w:val="00BF76DF"/>
    <w:rsid w:val="00C17BD5"/>
    <w:rsid w:val="00C86769"/>
    <w:rsid w:val="00CF231E"/>
    <w:rsid w:val="00E70B6A"/>
    <w:rsid w:val="00ED3F90"/>
    <w:rsid w:val="00F14732"/>
    <w:rsid w:val="00F46759"/>
    <w:rsid w:val="00F55C32"/>
    <w:rsid w:val="00FC48B3"/>
    <w:rsid w:val="00FE0185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9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9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39A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39A2"/>
  </w:style>
  <w:style w:type="paragraph" w:styleId="a8">
    <w:name w:val="footer"/>
    <w:basedOn w:val="a"/>
    <w:link w:val="a9"/>
    <w:uiPriority w:val="99"/>
    <w:unhideWhenUsed/>
    <w:rsid w:val="002A39A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3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9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9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39A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39A2"/>
  </w:style>
  <w:style w:type="paragraph" w:styleId="a8">
    <w:name w:val="footer"/>
    <w:basedOn w:val="a"/>
    <w:link w:val="a9"/>
    <w:uiPriority w:val="99"/>
    <w:unhideWhenUsed/>
    <w:rsid w:val="002A39A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FBK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Мария Николаевна</dc:creator>
  <cp:lastModifiedBy>Глухова Мария Николаевна</cp:lastModifiedBy>
  <cp:revision>5</cp:revision>
  <cp:lastPrinted>2016-03-11T09:47:00Z</cp:lastPrinted>
  <dcterms:created xsi:type="dcterms:W3CDTF">2016-03-11T14:52:00Z</dcterms:created>
  <dcterms:modified xsi:type="dcterms:W3CDTF">2016-03-14T11:15:00Z</dcterms:modified>
</cp:coreProperties>
</file>