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4" w:rsidRDefault="00A835E4" w:rsidP="003022E3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Профессиональное образование: взгляд бизнеса</w:t>
      </w:r>
    </w:p>
    <w:p w:rsidR="00A835E4" w:rsidRDefault="00D53104" w:rsidP="00D531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(материал из доклада РСПП о деловом климате)</w:t>
      </w:r>
    </w:p>
    <w:p w:rsidR="009559E3" w:rsidRDefault="009559E3" w:rsidP="00A835E4">
      <w:pPr>
        <w:rPr>
          <w:rFonts w:ascii="Garamond" w:hAnsi="Garamond"/>
          <w:b/>
          <w:bCs/>
          <w:sz w:val="28"/>
          <w:szCs w:val="28"/>
        </w:rPr>
      </w:pPr>
    </w:p>
    <w:p w:rsidR="009559E3" w:rsidRDefault="009559E3" w:rsidP="00D5310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85158" w:rsidRDefault="009559E3" w:rsidP="009559E3">
      <w:pPr>
        <w:ind w:firstLine="709"/>
        <w:jc w:val="both"/>
        <w:rPr>
          <w:sz w:val="26"/>
          <w:szCs w:val="26"/>
        </w:rPr>
      </w:pPr>
      <w:r w:rsidRPr="009559E3">
        <w:rPr>
          <w:sz w:val="26"/>
          <w:szCs w:val="26"/>
        </w:rPr>
        <w:t xml:space="preserve">. </w:t>
      </w:r>
    </w:p>
    <w:p w:rsidR="009559E3" w:rsidRPr="009559E3" w:rsidRDefault="009559E3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Формат участия работодателей в деятельности и совершенствовании системы профобразования достаточно разнообразен.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результатам опроса, проведенного РСПП в июле 2013 г.</w:t>
      </w:r>
      <w:r w:rsidR="009559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42,1% </w:t>
      </w:r>
      <w:r w:rsidR="009559E3">
        <w:rPr>
          <w:sz w:val="26"/>
          <w:szCs w:val="26"/>
        </w:rPr>
        <w:t>респондентов</w:t>
      </w:r>
      <w:r>
        <w:rPr>
          <w:sz w:val="26"/>
          <w:szCs w:val="26"/>
        </w:rPr>
        <w:t xml:space="preserve"> оказывают поддержку развитию материально-технической базы учреждений профессионального образования, не являющихся структурными подразделениями компании, а именно:</w:t>
      </w:r>
      <w:r w:rsidRPr="009559E3">
        <w:rPr>
          <w:sz w:val="26"/>
          <w:szCs w:val="26"/>
        </w:rPr>
        <w:t xml:space="preserve"> </w:t>
      </w:r>
      <w:r w:rsidRPr="00EF31BF">
        <w:rPr>
          <w:sz w:val="26"/>
          <w:szCs w:val="26"/>
        </w:rPr>
        <w:t>осуществляют целевую покупку оборудования для учреждений профессионального обучения; передают в пользу образовательных учреждений оборудование, находящего на балансе компании, осуществляют техническое оснащение лабораторий и т.д.</w:t>
      </w:r>
      <w:proofErr w:type="gramEnd"/>
    </w:p>
    <w:p w:rsidR="009559E3" w:rsidRDefault="009559E3" w:rsidP="009559E3">
      <w:pPr>
        <w:ind w:firstLine="709"/>
        <w:jc w:val="both"/>
        <w:rPr>
          <w:sz w:val="26"/>
          <w:szCs w:val="26"/>
        </w:rPr>
      </w:pPr>
    </w:p>
    <w:p w:rsidR="00A835E4" w:rsidRDefault="00A835E4" w:rsidP="00A835E4">
      <w:pPr>
        <w:jc w:val="both"/>
        <w:rPr>
          <w:sz w:val="26"/>
          <w:szCs w:val="26"/>
        </w:rPr>
      </w:pPr>
      <w:r w:rsidRPr="006137B9">
        <w:rPr>
          <w:noProof/>
          <w:sz w:val="26"/>
          <w:szCs w:val="26"/>
        </w:rPr>
        <w:drawing>
          <wp:inline distT="0" distB="0" distL="0" distR="0" wp14:anchorId="7FAD58D1" wp14:editId="383536B9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Большая часть компаний, которые осуществляют помощь образовательным учреждениям именно через развитие материально-технической базы, осуществляют ежегодные расходы на данный вид поддержки свыше 5 миллионов рублей: их доля составила 34,6%. 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Чуть более четверти компаний направляют на поддержку и развитие материально-технической базы суммы, не превышающие или равные 100 тысячам рублей; 15,4% респондентов ответили, что сумма данных расходов их компаний находится в промежутке от</w:t>
      </w:r>
      <w:bookmarkStart w:id="0" w:name="_GoBack"/>
      <w:bookmarkEnd w:id="0"/>
      <w:r>
        <w:rPr>
          <w:sz w:val="26"/>
          <w:szCs w:val="26"/>
        </w:rPr>
        <w:t xml:space="preserve"> 101 до 500 тысяч рублей; у 7,7% компаний данная статья расходов – в промежутке от 501 до миллиона рублей; в 15,4% компаниях сумма ежегодных расходов на поддержку материально-технической базы от миллиона до 5 миллионов рублей.</w:t>
      </w:r>
    </w:p>
    <w:p w:rsidR="00A835E4" w:rsidRDefault="00A835E4" w:rsidP="00A835E4">
      <w:pPr>
        <w:jc w:val="both"/>
        <w:rPr>
          <w:sz w:val="26"/>
          <w:szCs w:val="26"/>
        </w:rPr>
      </w:pPr>
      <w:r w:rsidRPr="006137B9">
        <w:rPr>
          <w:noProof/>
          <w:sz w:val="26"/>
          <w:szCs w:val="26"/>
        </w:rPr>
        <w:lastRenderedPageBreak/>
        <w:drawing>
          <wp:inline distT="0" distB="0" distL="0" distR="0" wp14:anchorId="6C812727" wp14:editId="31C7FC1A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объём расходов, который указал респондент, занятый в секторе «добыча и переработка полезных ископаемых», достигает в год 52 720 тыс. рублей.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Две трети респондентов готовы увеличивать объём выделяемых средств на поддержку материально-технической базы учреждений профессионального образования при условии, что будет введена налоговая льгота по данной статье и эти расходы можно будет отнести на себестоимость.</w:t>
      </w:r>
    </w:p>
    <w:p w:rsidR="00A835E4" w:rsidRDefault="00A835E4" w:rsidP="00A835E4">
      <w:pPr>
        <w:jc w:val="both"/>
        <w:rPr>
          <w:sz w:val="26"/>
          <w:szCs w:val="26"/>
        </w:rPr>
      </w:pPr>
      <w:r w:rsidRPr="006137B9">
        <w:rPr>
          <w:noProof/>
          <w:sz w:val="26"/>
          <w:szCs w:val="26"/>
        </w:rPr>
        <w:drawing>
          <wp:inline distT="0" distB="0" distL="0" distR="0" wp14:anchorId="601F51BA" wp14:editId="2C8F3612">
            <wp:extent cx="5486400" cy="3472405"/>
            <wp:effectExtent l="0" t="0" r="1905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Обратное соотношение отрицательных и положительных ответов наблюдается при ответе на вопрос о том, станут ли оказывать поддержку образовательных учреждений через развитие материально-технической базы после введения новой налоговой льготы те респонденты, чьи компании до настоящего времени её не оказывали: 69,8% участников опроса ответили отрицательно, а 30,2% - положительно.</w:t>
      </w:r>
    </w:p>
    <w:p w:rsidR="00A835E4" w:rsidRDefault="00A835E4" w:rsidP="00A835E4">
      <w:pPr>
        <w:jc w:val="both"/>
        <w:rPr>
          <w:sz w:val="26"/>
          <w:szCs w:val="26"/>
        </w:rPr>
      </w:pPr>
      <w:r w:rsidRPr="006137B9">
        <w:rPr>
          <w:noProof/>
          <w:sz w:val="26"/>
          <w:szCs w:val="26"/>
        </w:rPr>
        <w:lastRenderedPageBreak/>
        <w:drawing>
          <wp:inline distT="0" distB="0" distL="0" distR="0" wp14:anchorId="0D1A20CA" wp14:editId="3E68AD77">
            <wp:extent cx="5486400" cy="3472405"/>
            <wp:effectExtent l="0" t="0" r="19050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35E4" w:rsidRDefault="00A835E4" w:rsidP="00A835E4">
      <w:pPr>
        <w:jc w:val="both"/>
        <w:rPr>
          <w:i/>
          <w:sz w:val="26"/>
          <w:szCs w:val="26"/>
        </w:rPr>
      </w:pPr>
      <w:r w:rsidRPr="00497402">
        <w:rPr>
          <w:i/>
          <w:sz w:val="26"/>
          <w:szCs w:val="26"/>
        </w:rPr>
        <w:t xml:space="preserve">*Вопрос был задан только тем респондентам, которые отметили, что в данный момент их компания не </w:t>
      </w:r>
      <w:r>
        <w:rPr>
          <w:i/>
          <w:sz w:val="26"/>
          <w:szCs w:val="26"/>
        </w:rPr>
        <w:t>осуществляют</w:t>
      </w:r>
      <w:r w:rsidRPr="00497402">
        <w:rPr>
          <w:i/>
          <w:sz w:val="26"/>
          <w:szCs w:val="26"/>
        </w:rPr>
        <w:t xml:space="preserve"> поддержк</w:t>
      </w:r>
      <w:r>
        <w:rPr>
          <w:i/>
          <w:sz w:val="26"/>
          <w:szCs w:val="26"/>
        </w:rPr>
        <w:t xml:space="preserve">у </w:t>
      </w:r>
      <w:r w:rsidRPr="00497402">
        <w:rPr>
          <w:i/>
          <w:sz w:val="26"/>
          <w:szCs w:val="26"/>
        </w:rPr>
        <w:t>материально-технической базы образовательных учреждений</w:t>
      </w:r>
      <w:r>
        <w:rPr>
          <w:i/>
          <w:sz w:val="26"/>
          <w:szCs w:val="26"/>
        </w:rPr>
        <w:t>.</w:t>
      </w:r>
    </w:p>
    <w:p w:rsidR="00A835E4" w:rsidRDefault="00A835E4" w:rsidP="00A835E4">
      <w:pPr>
        <w:jc w:val="both"/>
        <w:rPr>
          <w:sz w:val="26"/>
          <w:szCs w:val="26"/>
        </w:rPr>
      </w:pPr>
    </w:p>
    <w:p w:rsidR="00A835E4" w:rsidRPr="00846AF0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Компании могут оказывать помощь образовательным учреждениям не только через развитие материально-технической базы; существует множество других возможных статей расходов.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результатам опроса наиболее часто компании направляют средства на организацию </w:t>
      </w:r>
      <w:r w:rsidRPr="00846AF0">
        <w:rPr>
          <w:sz w:val="26"/>
          <w:szCs w:val="26"/>
        </w:rPr>
        <w:t>производственной практики для студентов профильных учреждений профессионального образования</w:t>
      </w:r>
      <w:r>
        <w:rPr>
          <w:sz w:val="26"/>
          <w:szCs w:val="26"/>
        </w:rPr>
        <w:t xml:space="preserve"> – 61,7% респондентов указали, что за последний год их компания несла такого рода расходы.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34% компаний осуществляли оплату </w:t>
      </w:r>
      <w:r w:rsidRPr="00846AF0">
        <w:rPr>
          <w:sz w:val="26"/>
          <w:szCs w:val="26"/>
        </w:rPr>
        <w:t>обучения лиц, которые могут не иметь закрепленных в договоре обязательств по последующей работе в компании и иных видов расходов на образовательные программы в компаниях</w:t>
      </w:r>
      <w:r>
        <w:rPr>
          <w:sz w:val="26"/>
          <w:szCs w:val="26"/>
        </w:rPr>
        <w:t>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Третьей по популярности статьёй расходов</w:t>
      </w:r>
      <w:r w:rsidRPr="009317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стали расходы, </w:t>
      </w:r>
      <w:r w:rsidRPr="00846AF0">
        <w:rPr>
          <w:sz w:val="26"/>
          <w:szCs w:val="26"/>
        </w:rPr>
        <w:t>связанные с производством и (или) реализацией, подготовки профессиональных стандартов</w:t>
      </w:r>
      <w:r>
        <w:rPr>
          <w:sz w:val="26"/>
          <w:szCs w:val="26"/>
        </w:rPr>
        <w:t>: четверть всех респондентов направляли на это средства.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  <w:r w:rsidRPr="00846AF0">
        <w:rPr>
          <w:sz w:val="26"/>
          <w:szCs w:val="26"/>
        </w:rPr>
        <w:t>на предоставление грантов преподавателям учреждений профессионального образования, оплаты их стажировок и повышения квалификации</w:t>
      </w:r>
      <w:r>
        <w:rPr>
          <w:sz w:val="26"/>
          <w:szCs w:val="26"/>
        </w:rPr>
        <w:t xml:space="preserve"> осуществляли за последний год только 16% компаний-участников опроса.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Некоторые компании оказывают помощь образовательным учреждениям иными способами, так, компания отрасли «Металлургия» осуществляет собственную программу развития студентов – с дополнительным обучением английскому языку, обучением в </w:t>
      </w:r>
      <w:proofErr w:type="gramStart"/>
      <w:r>
        <w:rPr>
          <w:sz w:val="26"/>
          <w:szCs w:val="26"/>
        </w:rPr>
        <w:t>бизнес-школе</w:t>
      </w:r>
      <w:proofErr w:type="gramEnd"/>
      <w:r>
        <w:rPr>
          <w:sz w:val="26"/>
          <w:szCs w:val="26"/>
        </w:rPr>
        <w:t>.</w:t>
      </w:r>
    </w:p>
    <w:p w:rsidR="009559E3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Компания сектора «добыча и переработка полезных ископаемых» выделяет средства на </w:t>
      </w:r>
      <w:r w:rsidRPr="00BD7BD5">
        <w:rPr>
          <w:sz w:val="26"/>
          <w:szCs w:val="26"/>
        </w:rPr>
        <w:t xml:space="preserve">оплату проведения олимпиад по математике и физике среди старшеклассников для поступления в горные вузы; на оплату обучения сторонних лиц в автошколах на водителей грузовых автомобилей (категория В); на оплату проведения деловых игр по горной тематике среди студентов вузов горного профиля; </w:t>
      </w:r>
      <w:r>
        <w:rPr>
          <w:sz w:val="26"/>
          <w:szCs w:val="26"/>
        </w:rPr>
        <w:lastRenderedPageBreak/>
        <w:t xml:space="preserve">также </w:t>
      </w:r>
      <w:r w:rsidRPr="00BD7BD5">
        <w:rPr>
          <w:sz w:val="26"/>
          <w:szCs w:val="26"/>
        </w:rPr>
        <w:t>осуществляет финансирование вузовских НИОКР и научных форумов, организует строительные отряды для школьников и студентов.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</w:p>
    <w:p w:rsidR="00A835E4" w:rsidRDefault="00A835E4" w:rsidP="00A835E4">
      <w:pPr>
        <w:jc w:val="both"/>
        <w:rPr>
          <w:sz w:val="26"/>
          <w:szCs w:val="26"/>
        </w:rPr>
      </w:pPr>
      <w:r w:rsidRPr="006137B9">
        <w:rPr>
          <w:noProof/>
          <w:sz w:val="26"/>
          <w:szCs w:val="26"/>
        </w:rPr>
        <w:drawing>
          <wp:inline distT="0" distB="0" distL="0" distR="0" wp14:anchorId="50D37E07" wp14:editId="5C96BD8A">
            <wp:extent cx="6261903" cy="3819646"/>
            <wp:effectExtent l="0" t="0" r="24765" b="9525"/>
            <wp:docPr id="171" name="Диаграмма 1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35E4" w:rsidRPr="004707BD" w:rsidRDefault="00A835E4" w:rsidP="009559E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Затраты трети компаний на организацию производственной практики для студентов профильных учреждений профессионального образования, составили в прошлом году менее 100 тысячи рублей; доля компаний, которые осуществляли расходы по данной статье в размере от 101 до 500 тысяч рублей, достигла 18,5%; 22,3% компаний направляли на организацию производственной практики от 501 тысячи до 2,5 миллионов рублей.</w:t>
      </w:r>
      <w:proofErr w:type="gramEnd"/>
      <w:r>
        <w:rPr>
          <w:sz w:val="26"/>
          <w:szCs w:val="26"/>
        </w:rPr>
        <w:t xml:space="preserve"> Соответственно, 25,9% респондентов указали, что данная статья расходов в компании – более 2,5 миллионов рублей.</w:t>
      </w:r>
    </w:p>
    <w:p w:rsidR="00A835E4" w:rsidRDefault="00A835E4" w:rsidP="00A835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DF23FA9" wp14:editId="7180F8C7">
            <wp:extent cx="5937812" cy="1805651"/>
            <wp:effectExtent l="0" t="0" r="25400" b="234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касается оплаты обучения лиц, </w:t>
      </w:r>
      <w:r w:rsidRPr="003871F5">
        <w:rPr>
          <w:sz w:val="26"/>
          <w:szCs w:val="26"/>
        </w:rPr>
        <w:t>которые могут не иметь закрепленных в договоре обязательств по последующей работе в компании и иных видов расходов на образовательные программы в компаниях</w:t>
      </w:r>
      <w:r>
        <w:rPr>
          <w:sz w:val="26"/>
          <w:szCs w:val="26"/>
        </w:rPr>
        <w:t>, то примерно по трети компаний, осуществлявших данные расходы, направляли от 101 до 500 тысячи рублей и более 2,5 миллионов рублей. Четверть компаний оказывали поддержку в размере от 501 тысячи до 2,5 миллионов рублей. А 15% респондентов ответили, что данная статья расходов составила в их компаниях менее 100 тысяч рублей.</w:t>
      </w:r>
    </w:p>
    <w:p w:rsidR="00A835E4" w:rsidRDefault="00A835E4" w:rsidP="00A835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BD4E7F2" wp14:editId="31D32048">
            <wp:extent cx="5937812" cy="1805651"/>
            <wp:effectExtent l="0" t="0" r="25400" b="234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большинства компаний (42,8%), связанные с производством и (или) реализацией профессиональных стандартов, составили в прошлом году менее 100 тысяч рублей. Чуть менее трети компаний направили по данной статье расходов сумму в размере от 101 до 500 тысяч рублей. Близкое число респондентов (14,25% и 14,35%) несли затраты на производство и (или) реализацию профессиональных стандартов в размере от 501 тысячи до 2,5 миллиона рублей и более 2,5 миллиона рублей, соответственно.</w:t>
      </w:r>
    </w:p>
    <w:p w:rsidR="00A835E4" w:rsidRDefault="00A835E4" w:rsidP="00A835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B8A3D41" wp14:editId="515CAAF2">
            <wp:extent cx="5937812" cy="1805651"/>
            <wp:effectExtent l="0" t="0" r="25400" b="234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предоставление грантов преподавателям в 70% случае не превышали 100 тысяч рублей. Это самый редкий вид поддержки институтов профессионального образования со стороны компаний.</w:t>
      </w:r>
    </w:p>
    <w:p w:rsidR="00A835E4" w:rsidRDefault="00A835E4" w:rsidP="00A835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B16F8ED" wp14:editId="6B589554">
            <wp:extent cx="5937812" cy="1805651"/>
            <wp:effectExtent l="0" t="0" r="25400" b="234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Компании, которые осуществляли собственные программы по обучению, по поддержке образовательных учреждений, указали, что их расходы за последний год были достаточно велики: медианное значение составило 22 757 542 рублей. А максимальная сумма – 40 000 000 рублей.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результатам опроса три четверти всех компаний, которые осуществляли расходы на организацию производственной практики для студентов профильных учреждений профессионального образования, готовы увеличить данные расходы при условии, что будет введена </w:t>
      </w:r>
      <w:r w:rsidRPr="00B028E0">
        <w:rPr>
          <w:sz w:val="26"/>
          <w:szCs w:val="26"/>
        </w:rPr>
        <w:t>налоговая льгота – отне</w:t>
      </w:r>
      <w:r>
        <w:rPr>
          <w:sz w:val="26"/>
          <w:szCs w:val="26"/>
        </w:rPr>
        <w:t xml:space="preserve">сение на себестоимость расходов. 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респондентов, ответивших утвердительно на вопрос, будет ли увеличена статья расходов на оплату обучения лиц, не имеющих последующих обязательств по работе в компании, при введении налоговой льготы, составляет 67,9%.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производством и (или) реализацией профессиональных стандартов, готовы увеличить 84,9% компаний, если данные расходы можно будет отнести на себестоимость.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Две трети компаний, осуществляющих предоставление грантов преподавателям учреждений профессионального образования, оплаты их стажировок, повышения их квалификации, заявили, что расходы могут быть увеличены при введении налоговой льготы.</w:t>
      </w:r>
    </w:p>
    <w:p w:rsidR="00A835E4" w:rsidRDefault="009559E3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Почти </w:t>
      </w:r>
      <w:r w:rsidR="00A835E4">
        <w:rPr>
          <w:sz w:val="26"/>
          <w:szCs w:val="26"/>
        </w:rPr>
        <w:t>дв</w:t>
      </w:r>
      <w:r>
        <w:rPr>
          <w:sz w:val="26"/>
          <w:szCs w:val="26"/>
        </w:rPr>
        <w:t>е</w:t>
      </w:r>
      <w:r w:rsidR="00A835E4">
        <w:rPr>
          <w:sz w:val="26"/>
          <w:szCs w:val="26"/>
        </w:rPr>
        <w:t xml:space="preserve"> трет</w:t>
      </w:r>
      <w:r>
        <w:rPr>
          <w:sz w:val="26"/>
          <w:szCs w:val="26"/>
        </w:rPr>
        <w:t>и</w:t>
      </w:r>
      <w:r w:rsidR="00A835E4">
        <w:rPr>
          <w:sz w:val="26"/>
          <w:szCs w:val="26"/>
        </w:rPr>
        <w:t xml:space="preserve"> компаний, которые осуществляли поддержку сферы образованиями какими-либо другими способами, будут увеличивать данные расходы, если они подпадут под действие новой налоговой льготы.</w:t>
      </w:r>
    </w:p>
    <w:p w:rsidR="00A835E4" w:rsidRDefault="00A835E4" w:rsidP="00A835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065B3AC" wp14:editId="18AAA694">
            <wp:extent cx="5800725" cy="47339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35E4" w:rsidRPr="0061389F" w:rsidRDefault="00A835E4" w:rsidP="00A835E4">
      <w:pPr>
        <w:jc w:val="both"/>
        <w:rPr>
          <w:i/>
          <w:sz w:val="26"/>
          <w:szCs w:val="26"/>
        </w:rPr>
      </w:pPr>
      <w:r w:rsidRPr="0061389F">
        <w:rPr>
          <w:i/>
          <w:sz w:val="26"/>
          <w:szCs w:val="26"/>
        </w:rPr>
        <w:t>*Вопрос был задан тем респондентам, кто за последний год осуществлял расходы на поддержку сферы образования</w:t>
      </w:r>
      <w:r>
        <w:rPr>
          <w:i/>
          <w:sz w:val="26"/>
          <w:szCs w:val="26"/>
        </w:rPr>
        <w:t xml:space="preserve"> по направлениям.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Иное распределение ответов было получено на вопрос: е</w:t>
      </w:r>
      <w:r w:rsidRPr="00E22EEC">
        <w:rPr>
          <w:sz w:val="26"/>
          <w:szCs w:val="26"/>
        </w:rPr>
        <w:t xml:space="preserve">сли компания в настоящее время не выделяет средства на поддержку сферы образования по указанным направлениям, то в случае введения налоговой льготы, </w:t>
      </w:r>
      <w:r>
        <w:rPr>
          <w:sz w:val="26"/>
          <w:szCs w:val="26"/>
        </w:rPr>
        <w:t>изменится ли ситуация?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доля положительных ответов – 26,8% - была дана респондентами о возможности при введении налоговой льготы нести расходы, связанные с производством и (или) реализацией профессиональных стандартов.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Около четверти респондентов, в настоящее время не направляющих средства на предоставление грантов преподавателям, готовы начать это делать при условии вступления в силу налоговой льготы по данной статье расходов компании.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на обучение лиц, которые могут не иметь обязательств по последующей работе в компании, готовы начать выделять 17,1% компаний из тех участников опроса, которые за последний год не вели данные расходы.</w:t>
      </w:r>
    </w:p>
    <w:p w:rsidR="00A835E4" w:rsidRDefault="00A835E4" w:rsidP="009559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Только 16% компаний, в бюджет которых за последний год не была включена статья расходов «на организацию производственной практики </w:t>
      </w:r>
      <w:r w:rsidRPr="001606ED">
        <w:rPr>
          <w:sz w:val="26"/>
          <w:szCs w:val="26"/>
        </w:rPr>
        <w:t>для студентов профильных учреждений профессионального образования</w:t>
      </w:r>
      <w:r>
        <w:rPr>
          <w:sz w:val="26"/>
          <w:szCs w:val="26"/>
        </w:rPr>
        <w:t>», указали в анкете, что они готовы нести данные расходы, при условии, что будет введена налоговая льгота.</w:t>
      </w:r>
    </w:p>
    <w:p w:rsidR="00A835E4" w:rsidRDefault="00A835E4" w:rsidP="00A835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5C52E1E" wp14:editId="58871122">
            <wp:extent cx="5800725" cy="49434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35E4" w:rsidRPr="0061389F" w:rsidRDefault="00A835E4" w:rsidP="00A835E4">
      <w:pPr>
        <w:jc w:val="both"/>
        <w:rPr>
          <w:i/>
          <w:sz w:val="26"/>
          <w:szCs w:val="26"/>
        </w:rPr>
      </w:pPr>
      <w:r w:rsidRPr="0061389F">
        <w:rPr>
          <w:i/>
          <w:sz w:val="26"/>
          <w:szCs w:val="26"/>
        </w:rPr>
        <w:t xml:space="preserve">*Вопрос был задан тем респондентам, кто за последний год </w:t>
      </w:r>
      <w:r>
        <w:rPr>
          <w:i/>
          <w:sz w:val="26"/>
          <w:szCs w:val="26"/>
        </w:rPr>
        <w:t xml:space="preserve">НЕ </w:t>
      </w:r>
      <w:r w:rsidRPr="0061389F">
        <w:rPr>
          <w:i/>
          <w:sz w:val="26"/>
          <w:szCs w:val="26"/>
        </w:rPr>
        <w:t>осуществлял расходы на поддержку сферы образования</w:t>
      </w:r>
      <w:r>
        <w:rPr>
          <w:i/>
          <w:sz w:val="26"/>
          <w:szCs w:val="26"/>
        </w:rPr>
        <w:t xml:space="preserve"> по направлениям.</w:t>
      </w:r>
    </w:p>
    <w:p w:rsidR="00A835E4" w:rsidRDefault="00A835E4" w:rsidP="00A835E4">
      <w:pPr>
        <w:jc w:val="both"/>
        <w:rPr>
          <w:sz w:val="26"/>
          <w:szCs w:val="26"/>
        </w:rPr>
      </w:pPr>
    </w:p>
    <w:p w:rsidR="00A835E4" w:rsidRDefault="00A835E4"/>
    <w:sectPr w:rsidR="00A835E4" w:rsidSect="00A835E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E3"/>
    <w:rsid w:val="000A70A6"/>
    <w:rsid w:val="00136C35"/>
    <w:rsid w:val="0014125F"/>
    <w:rsid w:val="0015480C"/>
    <w:rsid w:val="00185158"/>
    <w:rsid w:val="001D3A26"/>
    <w:rsid w:val="003022E3"/>
    <w:rsid w:val="00304600"/>
    <w:rsid w:val="0034205E"/>
    <w:rsid w:val="00525920"/>
    <w:rsid w:val="00703D1E"/>
    <w:rsid w:val="0072699C"/>
    <w:rsid w:val="00795F11"/>
    <w:rsid w:val="0081123D"/>
    <w:rsid w:val="009539BA"/>
    <w:rsid w:val="009559E3"/>
    <w:rsid w:val="009E2546"/>
    <w:rsid w:val="00A835E4"/>
    <w:rsid w:val="00C6386C"/>
    <w:rsid w:val="00C768BE"/>
    <w:rsid w:val="00D3075E"/>
    <w:rsid w:val="00D53104"/>
    <w:rsid w:val="00DA16B8"/>
    <w:rsid w:val="00E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Оказывает</a:t>
            </a:r>
            <a:r>
              <a:rPr lang="ru-RU" baseline="0"/>
              <a:t> ли компания поддержку материально-технической базы учреждений профессионального образования</a:t>
            </a:r>
            <a:r>
              <a:rPr lang="ru-RU"/>
              <a:t>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39566929133859"/>
          <c:y val="0.22767841519810023"/>
          <c:w val="0.42928258967629046"/>
          <c:h val="0.73591301087364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Повлияло ли на деятельность компании присоединение к ВТО?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bubble3D val="0"/>
            <c:explosion val="18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explosion val="18"/>
          </c:dPt>
          <c:dLbls>
            <c:dLbl>
              <c:idx val="2"/>
              <c:layout>
                <c:manualLayout>
                  <c:x val="4.8045986439195103E-2"/>
                  <c:y val="6.3541119860017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0.57899999999999996</c:v>
                </c:pt>
                <c:pt idx="1">
                  <c:v>0.42099999999999999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0"/>
            </a:pPr>
            <a:r>
              <a:rPr lang="ru-RU" sz="1200" b="1" i="0" u="none" strike="noStrike" baseline="0">
                <a:effectLst/>
              </a:rPr>
              <a:t>Если будет введена налоговая льгота – отнесение на себестоимость расходов, увеличится ли сумма выделяемых средств от компании по направлениям… </a:t>
            </a:r>
            <a:endParaRPr lang="ru-RU" sz="1200" i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385609310429743"/>
          <c:y val="0.2112430045623179"/>
          <c:w val="0.7557477400766478"/>
          <c:h val="0.7873987801214289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Расходы на организацию производственной практики</c:v>
                </c:pt>
                <c:pt idx="1">
                  <c:v>Оплата обучения лиц, которые могут не иметь обязательств по последующей работе в компании</c:v>
                </c:pt>
                <c:pt idx="2">
                  <c:v>Расходы, связанные с производством и (или) реализацией проф. стандартов</c:v>
                </c:pt>
                <c:pt idx="3">
                  <c:v>Расходы на предоставление грантов преподавателям</c:v>
                </c:pt>
                <c:pt idx="4">
                  <c:v>Другие расходы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0.76900000000000002</c:v>
                </c:pt>
                <c:pt idx="1">
                  <c:v>0.67900000000000005</c:v>
                </c:pt>
                <c:pt idx="2">
                  <c:v>0.84199999999999997</c:v>
                </c:pt>
                <c:pt idx="3">
                  <c:v>0.66700000000000004</c:v>
                </c:pt>
                <c:pt idx="4">
                  <c:v>0.625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Расходы на организацию производственной практики</c:v>
                </c:pt>
                <c:pt idx="1">
                  <c:v>Оплата обучения лиц, которые могут не иметь обязательств по последующей работе в компании</c:v>
                </c:pt>
                <c:pt idx="2">
                  <c:v>Расходы, связанные с производством и (или) реализацией проф. стандартов</c:v>
                </c:pt>
                <c:pt idx="3">
                  <c:v>Расходы на предоставление грантов преподавателям</c:v>
                </c:pt>
                <c:pt idx="4">
                  <c:v>Другие расходы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0.23100000000000001</c:v>
                </c:pt>
                <c:pt idx="1">
                  <c:v>0.32100000000000001</c:v>
                </c:pt>
                <c:pt idx="2">
                  <c:v>0.158</c:v>
                </c:pt>
                <c:pt idx="3">
                  <c:v>0.33300000000000002</c:v>
                </c:pt>
                <c:pt idx="4">
                  <c:v>0.375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11409536"/>
        <c:axId val="211411328"/>
      </c:barChart>
      <c:catAx>
        <c:axId val="2114095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211411328"/>
        <c:crosses val="autoZero"/>
        <c:auto val="1"/>
        <c:lblAlgn val="ctr"/>
        <c:lblOffset val="100"/>
        <c:noMultiLvlLbl val="0"/>
      </c:catAx>
      <c:valAx>
        <c:axId val="211411328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2114095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0950529374800395E-2"/>
          <c:y val="0.17154920852284769"/>
          <c:w val="0.89999986527023756"/>
          <c:h val="8.382735159250591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0"/>
            </a:pPr>
            <a:r>
              <a:rPr lang="ru-RU" sz="1200" b="1" i="0" u="none" strike="noStrike" baseline="0">
                <a:effectLst/>
              </a:rPr>
              <a:t>Если будет введена налоговая льгота – отнесение на себестоимость расходов, начнёт ли компания выделять средства по направлениям...</a:t>
            </a:r>
            <a:endParaRPr lang="ru-RU" sz="1200" i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385609310429743"/>
          <c:y val="0.2112430045623179"/>
          <c:w val="0.7557477400766478"/>
          <c:h val="0.7873987801214289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Расходы на организацию производственной практики</c:v>
                </c:pt>
                <c:pt idx="1">
                  <c:v>Оплата обучения лиц, которые могут не иметь обязательств по последующей работе в компании</c:v>
                </c:pt>
                <c:pt idx="2">
                  <c:v>Расходы, связанные с производством и (или) реализацией проф. стандартов</c:v>
                </c:pt>
                <c:pt idx="3">
                  <c:v>Расходы на предоставление грантов преподавателям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</c:v>
                </c:pt>
                <c:pt idx="1">
                  <c:v>0.17100000000000001</c:v>
                </c:pt>
                <c:pt idx="2">
                  <c:v>0.26800000000000002</c:v>
                </c:pt>
                <c:pt idx="3">
                  <c:v>0.25600000000000001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Расходы на организацию производственной практики</c:v>
                </c:pt>
                <c:pt idx="1">
                  <c:v>Оплата обучения лиц, которые могут не иметь обязательств по последующей работе в компании</c:v>
                </c:pt>
                <c:pt idx="2">
                  <c:v>Расходы, связанные с производством и (или) реализацией проф. стандартов</c:v>
                </c:pt>
                <c:pt idx="3">
                  <c:v>Расходы на предоставление грантов преподавателям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0.84</c:v>
                </c:pt>
                <c:pt idx="1">
                  <c:v>0.82899999999999996</c:v>
                </c:pt>
                <c:pt idx="2">
                  <c:v>0.73199999999999998</c:v>
                </c:pt>
                <c:pt idx="3">
                  <c:v>0.74399999999999999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17528960"/>
        <c:axId val="217534848"/>
      </c:barChart>
      <c:catAx>
        <c:axId val="2175289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217534848"/>
        <c:crosses val="autoZero"/>
        <c:auto val="1"/>
        <c:lblAlgn val="ctr"/>
        <c:lblOffset val="100"/>
        <c:noMultiLvlLbl val="0"/>
      </c:catAx>
      <c:valAx>
        <c:axId val="217534848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2175289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0950529374800395E-2"/>
          <c:y val="0.17154920852284769"/>
          <c:w val="0.89999986527023756"/>
          <c:h val="8.382735159250591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/>
            </a:pPr>
            <a:r>
              <a:rPr lang="ru-RU" sz="1400" b="1" i="0" u="none" strike="noStrike" baseline="0">
                <a:effectLst/>
              </a:rPr>
              <a:t>Какую сумму в год тратит компания на поддержку и развитие материально-технической базы образовательных учреждений</a:t>
            </a:r>
            <a:r>
              <a:rPr lang="ru-RU" b="1" i="0"/>
              <a:t>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39566929133859"/>
          <c:y val="0.22767841519810023"/>
          <c:w val="0.42928258967629046"/>
          <c:h val="0.73591301087364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Повлияло ли на деятельность компании присоединение к ВТО?</c:v>
                </c:pt>
              </c:strCache>
            </c:strRef>
          </c:tx>
          <c:explosion val="24"/>
          <c:dPt>
            <c:idx val="0"/>
            <c:bubble3D val="0"/>
            <c:explosion val="1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explosion val="6"/>
          </c:dPt>
          <c:dPt>
            <c:idx val="3"/>
            <c:bubble3D val="0"/>
            <c:explosion val="8"/>
          </c:dPt>
          <c:dPt>
            <c:idx val="4"/>
            <c:bubble3D val="0"/>
            <c:explosion val="40"/>
          </c:dPt>
          <c:dLbls>
            <c:dLbl>
              <c:idx val="2"/>
              <c:layout>
                <c:manualLayout>
                  <c:x val="4.8045986439195103E-2"/>
                  <c:y val="6.3541119860017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менее 100 тыс. рублей</c:v>
                </c:pt>
                <c:pt idx="1">
                  <c:v>101 - 500 тыс. рублей</c:v>
                </c:pt>
                <c:pt idx="2">
                  <c:v>501 - 1000 тыс. рублей</c:v>
                </c:pt>
                <c:pt idx="3">
                  <c:v>1001 - 5000 тыс. рублей</c:v>
                </c:pt>
                <c:pt idx="4">
                  <c:v>более 5000 тыс. рублей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0.26900000000000002</c:v>
                </c:pt>
                <c:pt idx="1">
                  <c:v>0.154</c:v>
                </c:pt>
                <c:pt idx="2">
                  <c:v>7.6999999999999999E-2</c:v>
                </c:pt>
                <c:pt idx="3" formatCode="0.00%">
                  <c:v>0.154</c:v>
                </c:pt>
                <c:pt idx="4" formatCode="0.00%">
                  <c:v>0.34599999999999997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0"/>
            </a:pPr>
            <a:r>
              <a:rPr lang="ru-RU" sz="1400" b="1" i="0" u="none" strike="noStrike" baseline="0">
                <a:effectLst/>
              </a:rPr>
              <a:t>Если будет реализована возможность отнесения данных расходов на себестоимость, увеличится ли сумма выделяемых компанией средств на поддержку материально-технической базы проф. образовательных учреждений</a:t>
            </a:r>
            <a:r>
              <a:rPr lang="ru-RU" i="0"/>
              <a:t>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45122484689414E-2"/>
          <c:y val="0.28943718355615206"/>
          <c:w val="0.42928258967629046"/>
          <c:h val="0.73591301087364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Повлияло ли на деятельность компании присоединение к ВТО?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bubble3D val="0"/>
            <c:explosion val="18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explosion val="18"/>
          </c:dPt>
          <c:dLbls>
            <c:dLbl>
              <c:idx val="2"/>
              <c:layout>
                <c:manualLayout>
                  <c:x val="4.8045986439195103E-2"/>
                  <c:y val="6.3541119860017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0.33300000000000002</c:v>
                </c:pt>
                <c:pt idx="1">
                  <c:v>0.66700000000000004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0"/>
            </a:pPr>
            <a:r>
              <a:rPr lang="ru-RU" sz="1400" b="1" i="0" u="none" strike="noStrike" baseline="0">
                <a:effectLst/>
              </a:rPr>
              <a:t>Если будет введена налоговая льгота на поддержку материально-технической базы образовательных учреждений, станет ли компания оказывать её?</a:t>
            </a:r>
            <a:endParaRPr lang="ru-RU" i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45122484689414E-2"/>
          <c:y val="0.28943718355615206"/>
          <c:w val="0.42928258967629046"/>
          <c:h val="0.73591301087364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Повлияло ли на деятельность компании присоединение к ВТО?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bubble3D val="0"/>
            <c:explosion val="18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explosion val="18"/>
          </c:dPt>
          <c:dLbls>
            <c:dLbl>
              <c:idx val="2"/>
              <c:layout>
                <c:manualLayout>
                  <c:x val="4.8045986439195103E-2"/>
                  <c:y val="6.3541119860017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0.69799999999999995</c:v>
                </c:pt>
                <c:pt idx="1">
                  <c:v>0.30199999999999999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0"/>
            </a:pPr>
            <a:r>
              <a:rPr lang="ru-RU" sz="1200" b="1" i="0" u="none" strike="noStrike" baseline="0">
                <a:effectLst/>
              </a:rPr>
              <a:t>Осуществляет ли Ваша компания расходы в сфере образования по направлениям...</a:t>
            </a:r>
            <a:endParaRPr lang="ru-RU" sz="1200" i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расходы на организацию производственной практики для студентов профильных учреждений профессионального образования</c:v>
                </c:pt>
                <c:pt idx="1">
                  <c:v>оплата обучения лиц, которые могут не иметь закрепленных в договоре обязательств по последующей работе в компании и иных видов расходов на образовательные программы в компаниях</c:v>
                </c:pt>
                <c:pt idx="2">
                  <c:v>расходы, связанные с производством и (или) реализацией, подготовки профессиональных стандартов</c:v>
                </c:pt>
                <c:pt idx="3">
                  <c:v>Расходы на предоставление грантов преподавателям учреждений профессионального образования, оплаты их стажировок и повышения квалификации</c:v>
                </c:pt>
                <c:pt idx="4">
                  <c:v>Другие расходы</c:v>
                </c:pt>
              </c:strCache>
            </c:strRef>
          </c:cat>
          <c:val>
            <c:numRef>
              <c:f>Лист1!$B$2:$B$6</c:f>
              <c:numCache>
                <c:formatCode>###0.0%</c:formatCode>
                <c:ptCount val="5"/>
                <c:pt idx="0">
                  <c:v>0.61699999999999999</c:v>
                </c:pt>
                <c:pt idx="1">
                  <c:v>0.34</c:v>
                </c:pt>
                <c:pt idx="2">
                  <c:v>0.245</c:v>
                </c:pt>
                <c:pt idx="3">
                  <c:v>0.16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overlap val="18"/>
        <c:axId val="219773952"/>
        <c:axId val="223794688"/>
      </c:barChart>
      <c:catAx>
        <c:axId val="219773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223794688"/>
        <c:crosses val="autoZero"/>
        <c:auto val="1"/>
        <c:lblAlgn val="ctr"/>
        <c:lblOffset val="100"/>
        <c:noMultiLvlLbl val="0"/>
      </c:catAx>
      <c:valAx>
        <c:axId val="223794688"/>
        <c:scaling>
          <c:orientation val="minMax"/>
        </c:scaling>
        <c:delete val="0"/>
        <c:axPos val="l"/>
        <c:majorGridlines>
          <c:spPr>
            <a:ln w="6350"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197739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Расходы на организацию</a:t>
            </a:r>
            <a:r>
              <a:rPr lang="ru-RU" sz="1200" baseline="0"/>
              <a:t> производственной практики для студентов профильных учреждений проф. образования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898943113394248E-2"/>
          <c:y val="0.33248287685460354"/>
          <c:w val="0.93968748027287607"/>
          <c:h val="0.666080543803869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100 тыс. рублей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0.33300000000000002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101 - 500 тыс. рублей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0.185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501 - 2500 тыс. рублей</c:v>
                </c:pt>
              </c:strCache>
            </c:strRef>
          </c:tx>
          <c:invertIfNegative val="0"/>
          <c:dLbls>
            <c:numFmt formatCode="0.0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2501 тыс. руб.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0.00%</c:formatCode>
                <c:ptCount val="1"/>
                <c:pt idx="0">
                  <c:v>0.25900000000000001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08623104"/>
        <c:axId val="208624256"/>
      </c:barChart>
      <c:catAx>
        <c:axId val="208623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8624256"/>
        <c:crosses val="autoZero"/>
        <c:auto val="1"/>
        <c:lblAlgn val="ctr"/>
        <c:lblOffset val="100"/>
        <c:noMultiLvlLbl val="0"/>
      </c:catAx>
      <c:valAx>
        <c:axId val="20862425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08623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000067364881204E-2"/>
          <c:y val="0.26914122544390007"/>
          <c:w val="0.89999986527023756"/>
          <c:h val="0.119317077331112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Оплата обучения лиц, которые могут не иметь обязательств по последующей</a:t>
            </a:r>
            <a:r>
              <a:rPr lang="ru-RU" sz="1200" baseline="0"/>
              <a:t> работе в компании...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898943113394248E-2"/>
          <c:y val="0.33248287685460354"/>
          <c:w val="0.93968748027287607"/>
          <c:h val="0.666080543803869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100 тыс. рублей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101 - 500 тыс. рублей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501 - 2500 тыс. рублей</c:v>
                </c:pt>
              </c:strCache>
            </c:strRef>
          </c:tx>
          <c:invertIfNegative val="0"/>
          <c:dLbls>
            <c:numFmt formatCode="0.0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2501 тыс. руб.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0.00%</c:formatCode>
                <c:ptCount val="1"/>
                <c:pt idx="0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08636928"/>
        <c:axId val="208638720"/>
      </c:barChart>
      <c:catAx>
        <c:axId val="20863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8638720"/>
        <c:crosses val="autoZero"/>
        <c:auto val="1"/>
        <c:lblAlgn val="ctr"/>
        <c:lblOffset val="100"/>
        <c:noMultiLvlLbl val="0"/>
      </c:catAx>
      <c:valAx>
        <c:axId val="20863872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086369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000067364881204E-2"/>
          <c:y val="0.26914122544390007"/>
          <c:w val="0.89999986527023756"/>
          <c:h val="0.119317077331112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Расходы, связанные с производством и (или) реализацией проф. страндартов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898943113394248E-2"/>
          <c:y val="0.33248287685460354"/>
          <c:w val="0.93968748027287607"/>
          <c:h val="0.666080543803869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100 тыс. рублей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101 - 500 тыс. рублей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501 - 2500 тыс. рублей</c:v>
                </c:pt>
              </c:strCache>
            </c:strRef>
          </c:tx>
          <c:invertIfNegative val="0"/>
          <c:dLbls>
            <c:numFmt formatCode="0.0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0.14249999999999999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2501 тыс. руб.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0.00%</c:formatCode>
                <c:ptCount val="1"/>
                <c:pt idx="0">
                  <c:v>0.14349999999999999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09421440"/>
        <c:axId val="209422976"/>
      </c:barChart>
      <c:catAx>
        <c:axId val="20942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9422976"/>
        <c:crosses val="autoZero"/>
        <c:auto val="1"/>
        <c:lblAlgn val="ctr"/>
        <c:lblOffset val="100"/>
        <c:noMultiLvlLbl val="0"/>
      </c:catAx>
      <c:valAx>
        <c:axId val="2094229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09421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000067364881204E-2"/>
          <c:y val="0.26914122544390007"/>
          <c:w val="0.89999986527023756"/>
          <c:h val="0.119317077331112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Расходы на предоставление грантов преподавателям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898943113394248E-2"/>
          <c:y val="0.33248287685460354"/>
          <c:w val="0.93968748027287607"/>
          <c:h val="0.666080543803869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100 тыс. рублей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101 - 500 тыс. рублей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501 - 2500 тыс. рублей</c:v>
                </c:pt>
              </c:strCache>
            </c:strRef>
          </c:tx>
          <c:invertIfNegative val="0"/>
          <c:dLbls>
            <c:numFmt formatCode="0.0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2501 тыс. руб.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0.00%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11356672"/>
        <c:axId val="211362560"/>
      </c:barChart>
      <c:catAx>
        <c:axId val="21135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1362560"/>
        <c:crosses val="autoZero"/>
        <c:auto val="1"/>
        <c:lblAlgn val="ctr"/>
        <c:lblOffset val="100"/>
        <c:noMultiLvlLbl val="0"/>
      </c:catAx>
      <c:valAx>
        <c:axId val="21136256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11356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000067364881204E-2"/>
          <c:y val="0.26914122544390007"/>
          <c:w val="0.89999986527023756"/>
          <c:h val="0.1193170773311121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Любовь Геннадиевна</dc:creator>
  <cp:lastModifiedBy>Недобой Игорь Иванович</cp:lastModifiedBy>
  <cp:revision>2</cp:revision>
  <dcterms:created xsi:type="dcterms:W3CDTF">2014-04-24T07:43:00Z</dcterms:created>
  <dcterms:modified xsi:type="dcterms:W3CDTF">2014-04-24T07:43:00Z</dcterms:modified>
</cp:coreProperties>
</file>