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AB" w:rsidRPr="003F2FE0" w:rsidRDefault="00BE5FAB" w:rsidP="003F2FE0">
      <w:pPr>
        <w:spacing w:after="100" w:afterAutospacing="1"/>
        <w:ind w:left="7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</w:t>
      </w:r>
      <w:r w:rsidR="00181A0C" w:rsidRPr="003F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:rsidR="000434AF" w:rsidRPr="003F2FE0" w:rsidRDefault="00086056" w:rsidP="00D11A22">
      <w:pPr>
        <w:spacing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</w:t>
      </w:r>
      <w:r w:rsidR="00BE5FAB" w:rsidRPr="003F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предложения </w:t>
      </w:r>
      <w:r w:rsidRPr="003F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проектам Федеральных законов № 603170-7 и № 603192-7 «О внесении изменений в Федеральный закон «О национальной платежной системе»</w:t>
      </w:r>
    </w:p>
    <w:p w:rsidR="001B130E" w:rsidRDefault="001B130E" w:rsidP="00181A0C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81A0C" w:rsidRPr="003F2FE0" w:rsidRDefault="00181A0C" w:rsidP="00181A0C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F2FE0">
        <w:rPr>
          <w:rFonts w:ascii="Times New Roman" w:hAnsi="Times New Roman" w:cs="Times New Roman"/>
          <w:b/>
          <w:sz w:val="28"/>
          <w:szCs w:val="28"/>
        </w:rPr>
        <w:t>Общие вопросы</w:t>
      </w:r>
    </w:p>
    <w:p w:rsidR="00181A0C" w:rsidRPr="003F2FE0" w:rsidRDefault="00181A0C" w:rsidP="00181A0C">
      <w:pPr>
        <w:pStyle w:val="a4"/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181A0C" w:rsidRPr="003F2FE0" w:rsidRDefault="00181A0C" w:rsidP="00181A0C">
      <w:pPr>
        <w:pStyle w:val="a4"/>
        <w:numPr>
          <w:ilvl w:val="0"/>
          <w:numId w:val="4"/>
        </w:numPr>
        <w:spacing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>Действующее законодательство не содержит определения «программных и (или) технических средств, обеспечивающих прием электронных сре</w:t>
      </w:r>
      <w:proofErr w:type="gramStart"/>
      <w:r w:rsidRPr="003F2FE0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F2FE0">
        <w:rPr>
          <w:rFonts w:ascii="Times New Roman" w:hAnsi="Times New Roman" w:cs="Times New Roman"/>
          <w:sz w:val="28"/>
          <w:szCs w:val="28"/>
        </w:rPr>
        <w:t>атежа». В результате в законодательстве возникают несущие похожую смысловую нагрузку, но самостоятельные понятия: «электронные средства платежа», «платежное приложение», «программные и (или) технические средства, обеспечивающие прием электронных сре</w:t>
      </w:r>
      <w:proofErr w:type="gramStart"/>
      <w:r w:rsidRPr="003F2FE0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3F2FE0">
        <w:rPr>
          <w:rFonts w:ascii="Times New Roman" w:hAnsi="Times New Roman" w:cs="Times New Roman"/>
          <w:sz w:val="28"/>
          <w:szCs w:val="28"/>
        </w:rPr>
        <w:t>атежа». В связи с этим не ясно, предоставляет ли банковский платежный агент (дале</w:t>
      </w:r>
      <w:proofErr w:type="gramStart"/>
      <w:r w:rsidRPr="003F2FE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F2FE0">
        <w:rPr>
          <w:rFonts w:ascii="Times New Roman" w:hAnsi="Times New Roman" w:cs="Times New Roman"/>
          <w:sz w:val="28"/>
          <w:szCs w:val="28"/>
        </w:rPr>
        <w:t xml:space="preserve"> БПА) «платежные приложения»? Если да, то в чем разница между БПА  и «поставщиком платежного приложения»? Также в связи с этим не ясен статус оператора услуг информационного обмена.</w:t>
      </w:r>
    </w:p>
    <w:p w:rsidR="00181A0C" w:rsidRPr="003F2FE0" w:rsidRDefault="00181A0C" w:rsidP="00181A0C">
      <w:pPr>
        <w:pStyle w:val="a4"/>
        <w:spacing w:after="100" w:afterAutospacing="1"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1A0C" w:rsidRDefault="00181A0C" w:rsidP="00181A0C">
      <w:pPr>
        <w:pStyle w:val="a4"/>
        <w:numPr>
          <w:ilvl w:val="0"/>
          <w:numId w:val="4"/>
        </w:numPr>
        <w:tabs>
          <w:tab w:val="left" w:pos="0"/>
        </w:tabs>
        <w:spacing w:after="100" w:afterAutospacing="1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>Ключевые определения законопроектов не вынесены в глоссарий, что осложняет их понимание и возможность дальнейшего использования в практической деятельности, в том числе в практике правоприменения.  Целесообразно внести соответствующие изменения в рассматриваемые законопроекты.</w:t>
      </w:r>
    </w:p>
    <w:p w:rsidR="00394E90" w:rsidRPr="003F2FE0" w:rsidRDefault="00181A0C" w:rsidP="00D11A22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3F2FE0">
        <w:rPr>
          <w:rFonts w:ascii="Times New Roman" w:hAnsi="Times New Roman" w:cs="Times New Roman"/>
          <w:b/>
          <w:sz w:val="28"/>
          <w:szCs w:val="28"/>
        </w:rPr>
        <w:t>К</w:t>
      </w:r>
      <w:r w:rsidR="00394E90" w:rsidRPr="003F2FE0">
        <w:rPr>
          <w:rFonts w:ascii="Times New Roman" w:hAnsi="Times New Roman" w:cs="Times New Roman"/>
          <w:b/>
          <w:sz w:val="28"/>
          <w:szCs w:val="28"/>
        </w:rPr>
        <w:t xml:space="preserve"> проекту закона №  603192-7</w:t>
      </w:r>
    </w:p>
    <w:p w:rsidR="00181A0C" w:rsidRPr="003F2FE0" w:rsidRDefault="003F2FE0" w:rsidP="003F2FE0">
      <w:pPr>
        <w:pStyle w:val="a4"/>
        <w:spacing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1A0C" w:rsidRPr="003F2FE0">
        <w:rPr>
          <w:rFonts w:ascii="Times New Roman" w:hAnsi="Times New Roman" w:cs="Times New Roman"/>
          <w:sz w:val="28"/>
          <w:szCs w:val="28"/>
        </w:rPr>
        <w:t>Предлагается дополнить п. 4 ч. 3 ст. 14 </w:t>
      </w:r>
      <w:r w:rsidR="00181A0C" w:rsidRPr="003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 национальной платежной системе»</w:t>
      </w:r>
      <w:r w:rsidR="00181A0C" w:rsidRPr="003F2FE0">
        <w:rPr>
          <w:rFonts w:ascii="Times New Roman" w:hAnsi="Times New Roman" w:cs="Times New Roman"/>
          <w:sz w:val="28"/>
          <w:szCs w:val="28"/>
        </w:rPr>
        <w:t xml:space="preserve"> и изложить его в следующей редакции:</w:t>
      </w:r>
    </w:p>
    <w:p w:rsidR="00181A0C" w:rsidRPr="003F2FE0" w:rsidRDefault="00181A0C" w:rsidP="00181A0C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FE0">
        <w:rPr>
          <w:rFonts w:ascii="Times New Roman" w:hAnsi="Times New Roman" w:cs="Times New Roman"/>
          <w:sz w:val="28"/>
          <w:szCs w:val="28"/>
        </w:rPr>
        <w:t xml:space="preserve">4) использовании банковским платежным агентом (субагентом) специального банковского счета (счетов) для зачисления полученных от физических лиц наличных денежных средств </w:t>
      </w:r>
      <w:r w:rsidRPr="003F2FE0">
        <w:rPr>
          <w:rFonts w:ascii="Times New Roman" w:hAnsi="Times New Roman" w:cs="Times New Roman"/>
          <w:b/>
          <w:bCs/>
          <w:sz w:val="28"/>
          <w:szCs w:val="28"/>
        </w:rPr>
        <w:t>в полном объеме либо за вычетом выданных физическим лицам денежных средств, если договором между оператором по переводу денежных средств и банковским платежным агентом предусмотрена выдача физическим лицам денежных средств за счет полученных от физических лиц денежных средств в рамках осуществления операций</w:t>
      </w:r>
      <w:proofErr w:type="gramEnd"/>
      <w:r w:rsidRPr="003F2FE0">
        <w:rPr>
          <w:rFonts w:ascii="Times New Roman" w:hAnsi="Times New Roman" w:cs="Times New Roman"/>
          <w:b/>
          <w:bCs/>
          <w:sz w:val="28"/>
          <w:szCs w:val="28"/>
        </w:rPr>
        <w:t xml:space="preserve"> банковского платежного агента в рамках такого договора.  </w:t>
      </w:r>
    </w:p>
    <w:p w:rsidR="00181A0C" w:rsidRPr="003F2FE0" w:rsidRDefault="0079218C" w:rsidP="00181A0C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Обоснование</w:t>
      </w:r>
      <w:r w:rsidR="00181A0C" w:rsidRPr="003F2FE0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81A0C" w:rsidRPr="003F2FE0">
        <w:rPr>
          <w:rFonts w:ascii="Times New Roman" w:hAnsi="Times New Roman" w:cs="Times New Roman"/>
          <w:sz w:val="28"/>
          <w:szCs w:val="28"/>
        </w:rPr>
        <w:t xml:space="preserve">Наличная выручка от деятельности БПА зачастую равна или превышает товарную выручку от иной предпринимательской деятельности лица, привлеченного в качестве БПА. </w:t>
      </w:r>
      <w:proofErr w:type="gramStart"/>
      <w:r w:rsidR="00181A0C" w:rsidRPr="003F2FE0">
        <w:rPr>
          <w:rFonts w:ascii="Times New Roman" w:hAnsi="Times New Roman" w:cs="Times New Roman"/>
          <w:sz w:val="28"/>
          <w:szCs w:val="28"/>
        </w:rPr>
        <w:t xml:space="preserve">БПА постоянно обращаются к </w:t>
      </w:r>
      <w:r w:rsidR="00181A0C" w:rsidRPr="003F2FE0">
        <w:rPr>
          <w:rFonts w:ascii="Times New Roman" w:hAnsi="Times New Roman" w:cs="Times New Roman"/>
          <w:sz w:val="28"/>
          <w:szCs w:val="28"/>
        </w:rPr>
        <w:lastRenderedPageBreak/>
        <w:t xml:space="preserve">оператору по переводу денежных средств (далее – ОПДС) с просьбой разрешить выдачу наличных за счет принятых в от физических лиц денежных средств в качестве БПА. </w:t>
      </w:r>
      <w:proofErr w:type="gramEnd"/>
    </w:p>
    <w:p w:rsidR="00181A0C" w:rsidRPr="003F2FE0" w:rsidRDefault="00181A0C" w:rsidP="00181A0C">
      <w:pPr>
        <w:jc w:val="both"/>
        <w:rPr>
          <w:rFonts w:ascii="Times New Roman" w:hAnsi="Times New Roman" w:cs="Times New Roman"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> </w:t>
      </w:r>
    </w:p>
    <w:p w:rsidR="00181A0C" w:rsidRPr="003F2FE0" w:rsidRDefault="00181A0C" w:rsidP="003F2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 xml:space="preserve">Однако БПА не может осуществлять выдачу денежных средств за счет наличных, которые приняты им в качестве БПА, ОПДС на вышеуказанные просьбы вынуждены отвечать отказом. Это следует из законодательного требования к БПА зачислять принятые наличные денежные средства на специальный банковский счет </w:t>
      </w:r>
      <w:r w:rsidRPr="003F2FE0">
        <w:rPr>
          <w:rFonts w:ascii="Times New Roman" w:hAnsi="Times New Roman" w:cs="Times New Roman"/>
          <w:b/>
          <w:bCs/>
          <w:sz w:val="28"/>
          <w:szCs w:val="28"/>
        </w:rPr>
        <w:t>в полном объеме</w:t>
      </w:r>
      <w:r w:rsidRPr="003F2FE0">
        <w:rPr>
          <w:rFonts w:ascii="Times New Roman" w:hAnsi="Times New Roman" w:cs="Times New Roman"/>
          <w:sz w:val="28"/>
          <w:szCs w:val="28"/>
        </w:rPr>
        <w:t>, которое указано в ст. 14 161-ФЗ. В связи с этим потенциал проекта ограничен, т.к. суммы доступной в кассе для выдачи наличности могут быть меньше, чем существующий спрос клиентов.</w:t>
      </w:r>
    </w:p>
    <w:p w:rsidR="00181A0C" w:rsidRPr="003F2FE0" w:rsidRDefault="00181A0C" w:rsidP="00181A0C">
      <w:pPr>
        <w:jc w:val="both"/>
        <w:rPr>
          <w:rFonts w:ascii="Times New Roman" w:hAnsi="Times New Roman" w:cs="Times New Roman"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> </w:t>
      </w:r>
    </w:p>
    <w:p w:rsidR="00181A0C" w:rsidRDefault="00181A0C" w:rsidP="003F2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>Предлагае</w:t>
      </w:r>
      <w:r w:rsidR="0003422C">
        <w:rPr>
          <w:rFonts w:ascii="Times New Roman" w:hAnsi="Times New Roman" w:cs="Times New Roman"/>
          <w:sz w:val="28"/>
          <w:szCs w:val="28"/>
        </w:rPr>
        <w:t>тся</w:t>
      </w:r>
      <w:r w:rsidRPr="003F2FE0">
        <w:rPr>
          <w:rFonts w:ascii="Times New Roman" w:hAnsi="Times New Roman" w:cs="Times New Roman"/>
          <w:sz w:val="28"/>
          <w:szCs w:val="28"/>
        </w:rPr>
        <w:t xml:space="preserve"> разрешить выдачу БПА физическим лицам денежных средств, которые БПА принял от физических лиц в рамках договора с одним и тем же ОПДС.</w:t>
      </w:r>
    </w:p>
    <w:p w:rsidR="0079218C" w:rsidRDefault="0079218C" w:rsidP="003F2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A0C" w:rsidRPr="003F2FE0" w:rsidRDefault="00181A0C" w:rsidP="00181A0C">
      <w:pPr>
        <w:rPr>
          <w:rFonts w:ascii="Times New Roman" w:hAnsi="Times New Roman" w:cs="Times New Roman"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> </w:t>
      </w:r>
    </w:p>
    <w:p w:rsidR="0079218C" w:rsidRPr="0079218C" w:rsidRDefault="0079218C" w:rsidP="00792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Статью 1 законопроекта </w:t>
      </w:r>
      <w:r w:rsidRPr="002E3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9218C">
        <w:rPr>
          <w:rFonts w:ascii="Times New Roman" w:hAnsi="Times New Roman" w:cs="Times New Roman"/>
          <w:sz w:val="28"/>
          <w:szCs w:val="28"/>
        </w:rPr>
        <w:t>п.5.1. ст.10</w:t>
      </w:r>
      <w:r w:rsidR="002E31E8">
        <w:rPr>
          <w:rFonts w:ascii="Times New Roman" w:hAnsi="Times New Roman" w:cs="Times New Roman"/>
          <w:sz w:val="28"/>
          <w:szCs w:val="28"/>
        </w:rPr>
        <w:t>,</w:t>
      </w:r>
      <w:r w:rsidRPr="0079218C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2E31E8">
        <w:rPr>
          <w:rFonts w:ascii="Times New Roman" w:hAnsi="Times New Roman" w:cs="Times New Roman"/>
          <w:sz w:val="28"/>
          <w:szCs w:val="28"/>
        </w:rPr>
        <w:t>в его</w:t>
      </w:r>
      <w:r w:rsidRPr="0079218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9218C" w:rsidRDefault="0079218C" w:rsidP="0079218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18C">
        <w:rPr>
          <w:rFonts w:ascii="Times New Roman" w:hAnsi="Times New Roman" w:cs="Times New Roman"/>
          <w:sz w:val="28"/>
          <w:szCs w:val="28"/>
        </w:rPr>
        <w:t xml:space="preserve">В случае проведения оператором электронных денежных средств упрощенной идентификации клиента - физического лица в соответствии с Федеральным законом от 7 августа 2001 года № 115-ФЗ "О противодействии легализации (отмыванию) доходов, полученных преступным путем, и финансированию терроризма" использование </w:t>
      </w:r>
      <w:proofErr w:type="spellStart"/>
      <w:r w:rsidRPr="0079218C">
        <w:rPr>
          <w:rFonts w:ascii="Times New Roman" w:hAnsi="Times New Roman" w:cs="Times New Roman"/>
          <w:sz w:val="28"/>
          <w:szCs w:val="28"/>
        </w:rPr>
        <w:t>неперсонифицированного</w:t>
      </w:r>
      <w:proofErr w:type="spellEnd"/>
      <w:r w:rsidRPr="0079218C">
        <w:rPr>
          <w:rFonts w:ascii="Times New Roman" w:hAnsi="Times New Roman" w:cs="Times New Roman"/>
          <w:sz w:val="28"/>
          <w:szCs w:val="28"/>
        </w:rPr>
        <w:t xml:space="preserve"> электронного средства платежа может осуществляться клиентом - физическим лицом для перевода электронных денежных средств в пользу юридических лиц, индивидуальных предпринимателей </w:t>
      </w:r>
      <w:r w:rsidRPr="0079218C">
        <w:rPr>
          <w:rFonts w:ascii="Times New Roman" w:hAnsi="Times New Roman" w:cs="Times New Roman"/>
          <w:i/>
          <w:sz w:val="28"/>
          <w:szCs w:val="28"/>
        </w:rPr>
        <w:t>и физических лиц</w:t>
      </w:r>
      <w:r w:rsidRPr="0079218C">
        <w:rPr>
          <w:rFonts w:ascii="Times New Roman" w:hAnsi="Times New Roman" w:cs="Times New Roman"/>
          <w:sz w:val="28"/>
          <w:szCs w:val="28"/>
        </w:rPr>
        <w:t xml:space="preserve"> при условии</w:t>
      </w:r>
      <w:proofErr w:type="gramEnd"/>
      <w:r w:rsidRPr="0079218C">
        <w:rPr>
          <w:rFonts w:ascii="Times New Roman" w:hAnsi="Times New Roman" w:cs="Times New Roman"/>
          <w:sz w:val="28"/>
          <w:szCs w:val="28"/>
        </w:rPr>
        <w:t>, что остаток электронных денежных сре</w:t>
      </w:r>
      <w:proofErr w:type="gramStart"/>
      <w:r w:rsidRPr="0079218C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79218C">
        <w:rPr>
          <w:rFonts w:ascii="Times New Roman" w:hAnsi="Times New Roman" w:cs="Times New Roman"/>
          <w:sz w:val="28"/>
          <w:szCs w:val="28"/>
        </w:rPr>
        <w:t xml:space="preserve">юбой момент не превышает 60 тысяч рублей, а общая сумма переводимых электронных денежных средств с использованием такого </w:t>
      </w:r>
      <w:proofErr w:type="spellStart"/>
      <w:r w:rsidRPr="0079218C">
        <w:rPr>
          <w:rFonts w:ascii="Times New Roman" w:hAnsi="Times New Roman" w:cs="Times New Roman"/>
          <w:sz w:val="28"/>
          <w:szCs w:val="28"/>
        </w:rPr>
        <w:t>неперсонифицированного</w:t>
      </w:r>
      <w:proofErr w:type="spellEnd"/>
      <w:r w:rsidRPr="0079218C">
        <w:rPr>
          <w:rFonts w:ascii="Times New Roman" w:hAnsi="Times New Roman" w:cs="Times New Roman"/>
          <w:sz w:val="28"/>
          <w:szCs w:val="28"/>
        </w:rPr>
        <w:t xml:space="preserve"> электронного средства платежа не превышает 200 тысяч рублей в течение календарного месяца.</w:t>
      </w:r>
    </w:p>
    <w:p w:rsidR="0079218C" w:rsidRDefault="0079218C" w:rsidP="0079218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Обоснование. </w:t>
      </w:r>
      <w:r w:rsidRPr="0079218C">
        <w:rPr>
          <w:rFonts w:ascii="Times New Roman" w:hAnsi="Times New Roman" w:cs="Times New Roman"/>
          <w:sz w:val="28"/>
          <w:szCs w:val="28"/>
        </w:rPr>
        <w:t xml:space="preserve">Отсутствие в указанной норме в качестве получателя физического лица, приводит к некоторой правовой коллизии, например, физическое лицо, прошедшее упрощенную идентификацию планирует совершить крупную покупку в </w:t>
      </w:r>
      <w:proofErr w:type="gramStart"/>
      <w:r w:rsidRPr="0079218C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79218C">
        <w:rPr>
          <w:rFonts w:ascii="Times New Roman" w:hAnsi="Times New Roman" w:cs="Times New Roman"/>
          <w:sz w:val="28"/>
          <w:szCs w:val="28"/>
        </w:rPr>
        <w:t xml:space="preserve"> (у юридического лица) и предоставляет денежные средства оператору по переводу электронных денежных средств в сумме 50 тыс. руб. По независящим от сторон причинам, покупка не состоялась. В соответствии с действующими на текущий момент нормами, физическое лицо – клиент не имеет возможности возвратить себе на счет остаток неиспользованных электронных денежных средств одной </w:t>
      </w:r>
      <w:r w:rsidRPr="0079218C">
        <w:rPr>
          <w:rFonts w:ascii="Times New Roman" w:hAnsi="Times New Roman" w:cs="Times New Roman"/>
          <w:sz w:val="28"/>
          <w:szCs w:val="28"/>
        </w:rPr>
        <w:lastRenderedPageBreak/>
        <w:t>операцией единовременно (так как действует ограничение, установленное п.4 и 5 ст.10).</w:t>
      </w:r>
    </w:p>
    <w:p w:rsidR="0079218C" w:rsidRPr="0079218C" w:rsidRDefault="0079218C" w:rsidP="0079218C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218C">
        <w:rPr>
          <w:rFonts w:ascii="Times New Roman" w:hAnsi="Times New Roman" w:cs="Times New Roman"/>
          <w:sz w:val="28"/>
          <w:szCs w:val="28"/>
        </w:rPr>
        <w:t>Дополнить пп.1 п.1 ст.14, изложив его в следующей редакции:</w:t>
      </w:r>
    </w:p>
    <w:p w:rsidR="0079218C" w:rsidRDefault="0079218C" w:rsidP="0079218C">
      <w:pPr>
        <w:spacing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от физического лица наличных денежных средств и (или) выдачи физическому лицу наличных денежных средств, в том числе с применением банкоматов, </w:t>
      </w:r>
      <w:r w:rsidRPr="00792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также иных технических устройств, оснащенных контрольно-кассовой техникой в соответствии с требованиями законодательства Российской Федерации о применении контрольно-кассовой техники.</w:t>
      </w:r>
    </w:p>
    <w:p w:rsidR="0079218C" w:rsidRPr="0079218C" w:rsidRDefault="0079218C" w:rsidP="0079218C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Обоснование. 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 норму необходимо дополнить возможностью использования банковскими платежными агентами иных технических устройств, кроме банкоматов, для осуществления деятельности по приему наличных денежных средств, например электронных кассиров.</w:t>
      </w:r>
    </w:p>
    <w:p w:rsidR="0079218C" w:rsidRDefault="0079218C" w:rsidP="003F2FE0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Дополнить 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пп.4 п.1 ст.14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«физическими лицами», изложив его в следующей редакции:</w:t>
      </w:r>
    </w:p>
    <w:p w:rsidR="0079218C" w:rsidRDefault="0079218C" w:rsidP="003F2FE0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заключения с юридическими лицами, индивидуальными предпринимателями </w:t>
      </w:r>
      <w:r w:rsidRPr="00792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физическими лицами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о приеме электронных средств платежа, по условиям которых банковский платежный агент предоставляет юридическим лицам, индивидуальным предпринимателям </w:t>
      </w:r>
      <w:r w:rsidRPr="00792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физическим лицам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программные и (или) технические средства, обеспечивающие прием электронных средств платежа, и (или) участвует в переводе денежных средств в пользу юридических лиц и индивидуальных предпринимателей, в том числе по операциям с</w:t>
      </w:r>
      <w:proofErr w:type="gram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электронных сре</w:t>
      </w:r>
      <w:proofErr w:type="gram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пл</w:t>
      </w:r>
      <w:proofErr w:type="gram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атежа (далее – деятельность платежного </w:t>
      </w:r>
      <w:proofErr w:type="spell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агрегатора</w:t>
      </w:r>
      <w:proofErr w:type="spell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соответствии с требованиями частей 7 – 10 настоящей статьи, а также для проведения идентификации клиентов - юридических лиц, индивидуальных предпринимателей </w:t>
      </w:r>
      <w:r w:rsidRPr="00792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физических лиц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заключаются договоры о приеме электронных средств платежа, при осуществлении деятельности платежного </w:t>
      </w:r>
      <w:proofErr w:type="spell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агрегатора</w:t>
      </w:r>
      <w:proofErr w:type="spell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18C" w:rsidRDefault="0079218C" w:rsidP="0079218C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Обоснование. 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 вступлением в силу с 01.01.2019 г. норм законодательства о </w:t>
      </w:r>
      <w:proofErr w:type="spell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гражданах, указанную норму необходимо дополнить возможность осуществления платежным </w:t>
      </w:r>
      <w:proofErr w:type="spell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агрегатором</w:t>
      </w:r>
      <w:proofErr w:type="spell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приему электронных сре</w:t>
      </w:r>
      <w:proofErr w:type="gram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пл</w:t>
      </w:r>
      <w:proofErr w:type="gram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атежа в пользу физических лиц. </w:t>
      </w:r>
      <w:proofErr w:type="spell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необходимо предоставить удобный способ приема оплаты за оказываемые услуги, которым может стать электронное средство платежа. Для защиты средств </w:t>
      </w:r>
      <w:proofErr w:type="spell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</w:t>
      </w:r>
      <w:proofErr w:type="gram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платежному</w:t>
      </w:r>
      <w:proofErr w:type="gram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агрегатору</w:t>
      </w:r>
      <w:proofErr w:type="spell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доступна возможность осуществлять расчеты с физическими лицами.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этим, платежные агрегаторы как IT-компании, смогут интегрировать свои сервисы с Федеральной налоговой </w:t>
      </w:r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службой для передачи информации о суммах полученных доходах </w:t>
      </w:r>
      <w:proofErr w:type="spellStart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самозанятых</w:t>
      </w:r>
      <w:proofErr w:type="spellEnd"/>
      <w:r w:rsidRPr="007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что облегчит процесс администрирования данного налога.</w:t>
      </w:r>
    </w:p>
    <w:p w:rsidR="00AD2AFD" w:rsidRPr="003F2FE0" w:rsidRDefault="00AD2AFD" w:rsidP="00D11A22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A4" w:rsidRDefault="00B043A4" w:rsidP="00D11A22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43A4">
        <w:rPr>
          <w:rFonts w:ascii="Times New Roman" w:hAnsi="Times New Roman" w:cs="Times New Roman"/>
          <w:sz w:val="28"/>
          <w:szCs w:val="28"/>
        </w:rPr>
        <w:t xml:space="preserve">. В пункте 3 подпункта 5 статьи 14  исключить слово «одновременном», что даст возможность привлекать БПА только для осуществления идентификации.    </w:t>
      </w:r>
    </w:p>
    <w:p w:rsidR="00394E90" w:rsidRPr="003F2FE0" w:rsidRDefault="00B043A4" w:rsidP="00D11A22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94E90" w:rsidRPr="003F2FE0">
        <w:rPr>
          <w:rFonts w:ascii="Times New Roman" w:hAnsi="Times New Roman" w:cs="Times New Roman"/>
          <w:sz w:val="28"/>
          <w:szCs w:val="28"/>
        </w:rPr>
        <w:t>В чем отличие между платежным приложением и программными средствами, обеспечивающими прием ЭСП?</w:t>
      </w:r>
    </w:p>
    <w:p w:rsidR="000529BC" w:rsidRPr="003F2FE0" w:rsidRDefault="00B043A4" w:rsidP="00D11A22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3902" w:rsidRPr="003F2FE0">
        <w:rPr>
          <w:rFonts w:ascii="Times New Roman" w:hAnsi="Times New Roman" w:cs="Times New Roman"/>
          <w:sz w:val="28"/>
          <w:szCs w:val="28"/>
        </w:rPr>
        <w:t xml:space="preserve">. В каком качестве следует рассматривать </w:t>
      </w:r>
      <w:r w:rsidR="000529BC" w:rsidRPr="003F2FE0">
        <w:rPr>
          <w:rFonts w:ascii="Times New Roman" w:hAnsi="Times New Roman" w:cs="Times New Roman"/>
          <w:sz w:val="28"/>
          <w:szCs w:val="28"/>
        </w:rPr>
        <w:t xml:space="preserve">информационного и технологического посредника при совершении переводов денежных средств  </w:t>
      </w:r>
      <w:r w:rsidR="00394E90" w:rsidRPr="003F2FE0">
        <w:rPr>
          <w:rFonts w:ascii="Times New Roman" w:hAnsi="Times New Roman" w:cs="Times New Roman"/>
          <w:sz w:val="28"/>
          <w:szCs w:val="28"/>
        </w:rPr>
        <w:t>от одних физических лиц  другим физическим лицам или от юридических лиц физическим лицам</w:t>
      </w:r>
      <w:r w:rsidR="00DD58CF" w:rsidRPr="003F2FE0">
        <w:rPr>
          <w:rFonts w:ascii="Times New Roman" w:hAnsi="Times New Roman" w:cs="Times New Roman"/>
          <w:sz w:val="28"/>
          <w:szCs w:val="28"/>
        </w:rPr>
        <w:t xml:space="preserve">  - </w:t>
      </w:r>
      <w:r w:rsidR="00D43902" w:rsidRPr="003F2FE0">
        <w:rPr>
          <w:rFonts w:ascii="Times New Roman" w:hAnsi="Times New Roman" w:cs="Times New Roman"/>
          <w:sz w:val="28"/>
          <w:szCs w:val="28"/>
        </w:rPr>
        <w:t xml:space="preserve">  в качестве </w:t>
      </w:r>
      <w:r w:rsidR="000529BC" w:rsidRPr="003F2FE0">
        <w:rPr>
          <w:rFonts w:ascii="Times New Roman" w:hAnsi="Times New Roman" w:cs="Times New Roman"/>
          <w:sz w:val="28"/>
          <w:szCs w:val="28"/>
        </w:rPr>
        <w:t>оператор</w:t>
      </w:r>
      <w:r w:rsidR="00D43902" w:rsidRPr="003F2FE0">
        <w:rPr>
          <w:rFonts w:ascii="Times New Roman" w:hAnsi="Times New Roman" w:cs="Times New Roman"/>
          <w:sz w:val="28"/>
          <w:szCs w:val="28"/>
        </w:rPr>
        <w:t>а информационного обмена или в качестве</w:t>
      </w:r>
      <w:r w:rsidR="000529BC" w:rsidRPr="003F2FE0">
        <w:rPr>
          <w:rFonts w:ascii="Times New Roman" w:hAnsi="Times New Roman" w:cs="Times New Roman"/>
          <w:sz w:val="28"/>
          <w:szCs w:val="28"/>
        </w:rPr>
        <w:t xml:space="preserve"> БПА</w:t>
      </w:r>
      <w:r w:rsidR="00394E90" w:rsidRPr="003F2FE0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2738B" w:rsidRPr="003F2FE0" w:rsidRDefault="00B043A4" w:rsidP="002147E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47E4" w:rsidRPr="003F2FE0">
        <w:rPr>
          <w:rFonts w:ascii="Times New Roman" w:hAnsi="Times New Roman" w:cs="Times New Roman"/>
          <w:sz w:val="28"/>
          <w:szCs w:val="28"/>
        </w:rPr>
        <w:t xml:space="preserve">. </w:t>
      </w:r>
      <w:r w:rsidR="0002738B" w:rsidRPr="003F2FE0">
        <w:rPr>
          <w:rFonts w:ascii="Times New Roman" w:hAnsi="Times New Roman" w:cs="Times New Roman"/>
          <w:sz w:val="28"/>
          <w:szCs w:val="28"/>
        </w:rPr>
        <w:t xml:space="preserve">Из </w:t>
      </w:r>
      <w:r w:rsidR="00ED4E65" w:rsidRPr="003F2FE0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02738B" w:rsidRPr="003F2FE0">
        <w:rPr>
          <w:rFonts w:ascii="Times New Roman" w:hAnsi="Times New Roman" w:cs="Times New Roman"/>
          <w:sz w:val="28"/>
          <w:szCs w:val="28"/>
        </w:rPr>
        <w:t xml:space="preserve">законопроекта не ясно, осуществляет ли </w:t>
      </w:r>
      <w:r w:rsidR="00DD58CF" w:rsidRPr="003F2FE0">
        <w:rPr>
          <w:rFonts w:ascii="Times New Roman" w:hAnsi="Times New Roman" w:cs="Times New Roman"/>
          <w:sz w:val="28"/>
          <w:szCs w:val="28"/>
        </w:rPr>
        <w:t>БПА</w:t>
      </w:r>
      <w:r w:rsidR="0002738B" w:rsidRPr="003F2FE0">
        <w:rPr>
          <w:rFonts w:ascii="Times New Roman" w:hAnsi="Times New Roman" w:cs="Times New Roman"/>
          <w:sz w:val="28"/>
          <w:szCs w:val="28"/>
        </w:rPr>
        <w:t>, привлеченный</w:t>
      </w:r>
      <w:r w:rsidR="0083044A" w:rsidRPr="003F2FE0">
        <w:rPr>
          <w:rFonts w:ascii="Times New Roman" w:hAnsi="Times New Roman" w:cs="Times New Roman"/>
          <w:sz w:val="28"/>
          <w:szCs w:val="28"/>
        </w:rPr>
        <w:t xml:space="preserve"> в целях, предусмотренных пунктом</w:t>
      </w:r>
      <w:r w:rsidR="0002738B" w:rsidRPr="003F2FE0">
        <w:rPr>
          <w:rFonts w:ascii="Times New Roman" w:hAnsi="Times New Roman" w:cs="Times New Roman"/>
          <w:sz w:val="28"/>
          <w:szCs w:val="28"/>
        </w:rPr>
        <w:t xml:space="preserve"> 4 части 1 статьи 14</w:t>
      </w:r>
      <w:r w:rsidR="0083044A" w:rsidRPr="003F2FE0">
        <w:rPr>
          <w:rFonts w:ascii="Times New Roman" w:hAnsi="Times New Roman" w:cs="Times New Roman"/>
          <w:sz w:val="28"/>
          <w:szCs w:val="28"/>
        </w:rPr>
        <w:t>,</w:t>
      </w:r>
      <w:r w:rsidR="0002738B" w:rsidRPr="003F2FE0">
        <w:rPr>
          <w:rFonts w:ascii="Times New Roman" w:hAnsi="Times New Roman" w:cs="Times New Roman"/>
          <w:sz w:val="28"/>
          <w:szCs w:val="28"/>
        </w:rPr>
        <w:t xml:space="preserve">  </w:t>
      </w:r>
      <w:r w:rsidR="00800D64" w:rsidRPr="003F2FE0">
        <w:rPr>
          <w:rFonts w:ascii="Times New Roman" w:hAnsi="Times New Roman" w:cs="Times New Roman"/>
          <w:sz w:val="28"/>
          <w:szCs w:val="28"/>
        </w:rPr>
        <w:t xml:space="preserve">действия от своего имени, или от имени </w:t>
      </w:r>
      <w:r w:rsidR="00063B2D" w:rsidRPr="003F2FE0">
        <w:rPr>
          <w:rFonts w:ascii="Times New Roman" w:hAnsi="Times New Roman" w:cs="Times New Roman"/>
          <w:sz w:val="28"/>
          <w:szCs w:val="28"/>
        </w:rPr>
        <w:t xml:space="preserve">оператора по переводу денежных средств, если он не выполняет функции платежного </w:t>
      </w:r>
      <w:proofErr w:type="spellStart"/>
      <w:r w:rsidR="00063B2D" w:rsidRPr="003F2FE0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063B2D" w:rsidRPr="003F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BF2" w:rsidRDefault="00B043A4" w:rsidP="00D11A22">
      <w:pPr>
        <w:pStyle w:val="a4"/>
        <w:spacing w:after="100" w:afterAutospacing="1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6691" w:rsidRPr="003F2FE0">
        <w:rPr>
          <w:rFonts w:ascii="Times New Roman" w:hAnsi="Times New Roman" w:cs="Times New Roman"/>
          <w:sz w:val="28"/>
          <w:szCs w:val="28"/>
        </w:rPr>
        <w:t>. Частью</w:t>
      </w:r>
      <w:r w:rsidR="00ED4E65" w:rsidRPr="003F2FE0">
        <w:rPr>
          <w:rFonts w:ascii="Times New Roman" w:hAnsi="Times New Roman" w:cs="Times New Roman"/>
          <w:sz w:val="28"/>
          <w:szCs w:val="28"/>
        </w:rPr>
        <w:t xml:space="preserve"> 22 и </w:t>
      </w:r>
      <w:r w:rsidR="008F39E5" w:rsidRPr="003F2FE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D4E65" w:rsidRPr="003F2FE0">
        <w:rPr>
          <w:rFonts w:ascii="Times New Roman" w:hAnsi="Times New Roman" w:cs="Times New Roman"/>
          <w:sz w:val="28"/>
          <w:szCs w:val="28"/>
        </w:rPr>
        <w:t>23 проектируемой статьи</w:t>
      </w:r>
      <w:r w:rsidR="007F4BF2" w:rsidRPr="003F2FE0">
        <w:rPr>
          <w:rFonts w:ascii="Times New Roman" w:hAnsi="Times New Roman" w:cs="Times New Roman"/>
          <w:sz w:val="28"/>
          <w:szCs w:val="28"/>
        </w:rPr>
        <w:t xml:space="preserve"> 14 предусматривается право банковского платежного агента/банковского платежного субагента взимать с клиентов вознаграждение, если это предусмотрено  договором с оператором по перевод</w:t>
      </w:r>
      <w:r w:rsidR="008F39E5" w:rsidRPr="003F2FE0">
        <w:rPr>
          <w:rFonts w:ascii="Times New Roman" w:hAnsi="Times New Roman" w:cs="Times New Roman"/>
          <w:sz w:val="28"/>
          <w:szCs w:val="28"/>
        </w:rPr>
        <w:t>у</w:t>
      </w:r>
      <w:r w:rsidR="007F4BF2" w:rsidRPr="003F2FE0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8F39E5" w:rsidRPr="003F2FE0">
        <w:rPr>
          <w:rFonts w:ascii="Times New Roman" w:hAnsi="Times New Roman" w:cs="Times New Roman"/>
          <w:sz w:val="28"/>
          <w:szCs w:val="28"/>
        </w:rPr>
        <w:t xml:space="preserve">/договором </w:t>
      </w:r>
      <w:r w:rsidR="008F39E5" w:rsidRPr="003F2F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39E5" w:rsidRPr="003F2FE0">
        <w:rPr>
          <w:rFonts w:ascii="Times New Roman" w:hAnsi="Times New Roman" w:cs="Times New Roman"/>
          <w:sz w:val="28"/>
          <w:szCs w:val="28"/>
        </w:rPr>
        <w:t xml:space="preserve"> БПА</w:t>
      </w:r>
      <w:r w:rsidR="007F4BF2" w:rsidRPr="003F2FE0">
        <w:rPr>
          <w:rFonts w:ascii="Times New Roman" w:hAnsi="Times New Roman" w:cs="Times New Roman"/>
          <w:sz w:val="28"/>
          <w:szCs w:val="28"/>
        </w:rPr>
        <w:t>. При этом из текста законопроекта не ясно, в чью пользу взимается это вознаграждение? Не</w:t>
      </w:r>
      <w:r w:rsidR="008F39E5" w:rsidRPr="003F2FE0">
        <w:rPr>
          <w:rFonts w:ascii="Times New Roman" w:hAnsi="Times New Roman" w:cs="Times New Roman"/>
          <w:sz w:val="28"/>
          <w:szCs w:val="28"/>
        </w:rPr>
        <w:t xml:space="preserve"> ясно, предусматриваются</w:t>
      </w:r>
      <w:r w:rsidR="007F4BF2" w:rsidRPr="003F2FE0">
        <w:rPr>
          <w:rFonts w:ascii="Times New Roman" w:hAnsi="Times New Roman" w:cs="Times New Roman"/>
          <w:sz w:val="28"/>
          <w:szCs w:val="28"/>
        </w:rPr>
        <w:t xml:space="preserve"> ли договорные отношения между банковским платежным агентом/банковским платежным субагентом  и клиентом?</w:t>
      </w:r>
    </w:p>
    <w:p w:rsidR="00390423" w:rsidRDefault="00390423" w:rsidP="00D11A22">
      <w:pPr>
        <w:pStyle w:val="a4"/>
        <w:spacing w:after="100" w:afterAutospacing="1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1E21" w:rsidRDefault="00390423" w:rsidP="00661E21">
      <w:pPr>
        <w:pStyle w:val="a4"/>
        <w:spacing w:after="100" w:afterAutospacing="1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3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422C">
        <w:rPr>
          <w:rFonts w:ascii="Times New Roman" w:hAnsi="Times New Roman" w:cs="Times New Roman"/>
          <w:sz w:val="28"/>
          <w:szCs w:val="28"/>
        </w:rPr>
        <w:t>Ц</w:t>
      </w:r>
      <w:r w:rsidRPr="00390423">
        <w:rPr>
          <w:rFonts w:ascii="Times New Roman" w:hAnsi="Times New Roman" w:cs="Times New Roman"/>
          <w:sz w:val="28"/>
          <w:szCs w:val="28"/>
        </w:rPr>
        <w:t>елесообразн</w:t>
      </w:r>
      <w:r w:rsidR="0003422C">
        <w:rPr>
          <w:rFonts w:ascii="Times New Roman" w:hAnsi="Times New Roman" w:cs="Times New Roman"/>
          <w:sz w:val="28"/>
          <w:szCs w:val="28"/>
        </w:rPr>
        <w:t>о</w:t>
      </w:r>
      <w:r w:rsidRPr="00390423">
        <w:rPr>
          <w:rFonts w:ascii="Times New Roman" w:hAnsi="Times New Roman" w:cs="Times New Roman"/>
          <w:sz w:val="28"/>
          <w:szCs w:val="28"/>
        </w:rPr>
        <w:t xml:space="preserve"> дополнить законопроект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необходимости </w:t>
      </w:r>
      <w:r w:rsidRPr="00390423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4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90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БПА, ПА, платежных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</w:t>
      </w:r>
      <w:r w:rsidR="00B043A4">
        <w:rPr>
          <w:rFonts w:ascii="Times New Roman" w:hAnsi="Times New Roman" w:cs="Times New Roman"/>
          <w:sz w:val="28"/>
          <w:szCs w:val="28"/>
        </w:rPr>
        <w:t>ение по программам</w:t>
      </w:r>
      <w:proofErr w:type="gramEnd"/>
      <w:r w:rsidR="00B043A4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 на базе </w:t>
      </w:r>
      <w:r w:rsidRPr="00390423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661E21">
        <w:rPr>
          <w:rFonts w:ascii="Times New Roman" w:hAnsi="Times New Roman" w:cs="Times New Roman"/>
          <w:sz w:val="28"/>
          <w:szCs w:val="28"/>
        </w:rPr>
        <w:t xml:space="preserve">  </w:t>
      </w:r>
      <w:r w:rsidR="00661E21" w:rsidRPr="00661E21">
        <w:rPr>
          <w:rFonts w:ascii="Times New Roman" w:hAnsi="Times New Roman" w:cs="Times New Roman"/>
          <w:sz w:val="28"/>
          <w:szCs w:val="28"/>
        </w:rPr>
        <w:t>"Специалист по платежным системам"</w:t>
      </w:r>
      <w:r w:rsidR="00661E21">
        <w:rPr>
          <w:rFonts w:ascii="Times New Roman" w:hAnsi="Times New Roman" w:cs="Times New Roman"/>
          <w:sz w:val="28"/>
          <w:szCs w:val="28"/>
        </w:rPr>
        <w:t xml:space="preserve">, </w:t>
      </w:r>
      <w:r w:rsidRPr="00390423">
        <w:rPr>
          <w:rFonts w:ascii="Times New Roman" w:hAnsi="Times New Roman" w:cs="Times New Roman"/>
          <w:sz w:val="28"/>
          <w:szCs w:val="28"/>
        </w:rPr>
        <w:t>утвержденного приказом Министерства труда и социальной защиты РФ от 31 марта 2015 г. № 204н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E21" w:rsidRDefault="00661E21" w:rsidP="00D11A22">
      <w:pPr>
        <w:pStyle w:val="a4"/>
        <w:spacing w:after="100" w:afterAutospacing="1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0423" w:rsidRDefault="00661E21" w:rsidP="00661E21">
      <w:pPr>
        <w:pStyle w:val="a4"/>
        <w:spacing w:after="100" w:afterAutospacing="1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A4" w:rsidRDefault="00390423" w:rsidP="00B043A4">
      <w:pPr>
        <w:pStyle w:val="a4"/>
        <w:spacing w:after="100" w:afterAutospacing="1" w:line="259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A0C" w:rsidRPr="003F2FE0">
        <w:rPr>
          <w:rFonts w:ascii="Times New Roman" w:hAnsi="Times New Roman" w:cs="Times New Roman"/>
          <w:b/>
          <w:sz w:val="28"/>
          <w:szCs w:val="28"/>
        </w:rPr>
        <w:t>К</w:t>
      </w:r>
      <w:r w:rsidR="00B948A4" w:rsidRPr="003F2FE0">
        <w:rPr>
          <w:rFonts w:ascii="Times New Roman" w:hAnsi="Times New Roman" w:cs="Times New Roman"/>
          <w:b/>
          <w:sz w:val="28"/>
          <w:szCs w:val="28"/>
        </w:rPr>
        <w:t xml:space="preserve"> проекту закона №  603170-7</w:t>
      </w:r>
    </w:p>
    <w:p w:rsidR="00B043A4" w:rsidRPr="003F2FE0" w:rsidRDefault="00B043A4" w:rsidP="00B043A4">
      <w:pPr>
        <w:pStyle w:val="a4"/>
        <w:spacing w:after="100" w:afterAutospacing="1" w:line="259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8A4" w:rsidRPr="003F2FE0" w:rsidRDefault="00B948A4" w:rsidP="00D11A22">
      <w:pPr>
        <w:pStyle w:val="a4"/>
        <w:numPr>
          <w:ilvl w:val="0"/>
          <w:numId w:val="3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FE0">
        <w:rPr>
          <w:rFonts w:ascii="Times New Roman" w:hAnsi="Times New Roman" w:cs="Times New Roman"/>
          <w:sz w:val="28"/>
          <w:szCs w:val="28"/>
        </w:rPr>
        <w:t>Из определения иностранного поставщика пл</w:t>
      </w:r>
      <w:r w:rsidR="0083044A" w:rsidRPr="003F2FE0">
        <w:rPr>
          <w:rFonts w:ascii="Times New Roman" w:hAnsi="Times New Roman" w:cs="Times New Roman"/>
          <w:sz w:val="28"/>
          <w:szCs w:val="28"/>
        </w:rPr>
        <w:t xml:space="preserve">атежных услуг, приведенного в пункте б) статьи </w:t>
      </w:r>
      <w:r w:rsidRPr="003F2FE0">
        <w:rPr>
          <w:rFonts w:ascii="Times New Roman" w:hAnsi="Times New Roman" w:cs="Times New Roman"/>
          <w:sz w:val="28"/>
          <w:szCs w:val="28"/>
        </w:rPr>
        <w:t xml:space="preserve">3, не ясно, что имеется в виду под </w:t>
      </w:r>
      <w:r w:rsidR="0083044A" w:rsidRPr="003F2FE0">
        <w:rPr>
          <w:rFonts w:ascii="Times New Roman" w:hAnsi="Times New Roman" w:cs="Times New Roman"/>
          <w:sz w:val="28"/>
          <w:szCs w:val="28"/>
        </w:rPr>
        <w:lastRenderedPageBreak/>
        <w:t xml:space="preserve">«обеспечивающая прием» ЭСП </w:t>
      </w:r>
      <w:r w:rsidRPr="003F2FE0">
        <w:rPr>
          <w:rFonts w:ascii="Times New Roman" w:hAnsi="Times New Roman" w:cs="Times New Roman"/>
          <w:sz w:val="28"/>
          <w:szCs w:val="28"/>
        </w:rPr>
        <w:t>на территории РФ?</w:t>
      </w:r>
      <w:proofErr w:type="gramEnd"/>
      <w:r w:rsidRPr="003F2FE0">
        <w:rPr>
          <w:rFonts w:ascii="Times New Roman" w:hAnsi="Times New Roman" w:cs="Times New Roman"/>
          <w:sz w:val="28"/>
          <w:szCs w:val="28"/>
        </w:rPr>
        <w:t xml:space="preserve"> Имеется в виду привлеч</w:t>
      </w:r>
      <w:r w:rsidR="0083044A" w:rsidRPr="003F2FE0">
        <w:rPr>
          <w:rFonts w:ascii="Times New Roman" w:hAnsi="Times New Roman" w:cs="Times New Roman"/>
          <w:sz w:val="28"/>
          <w:szCs w:val="28"/>
        </w:rPr>
        <w:t xml:space="preserve">ение  третьих лиц по договорам </w:t>
      </w:r>
      <w:r w:rsidRPr="003F2FE0">
        <w:rPr>
          <w:rFonts w:ascii="Times New Roman" w:hAnsi="Times New Roman" w:cs="Times New Roman"/>
          <w:sz w:val="28"/>
          <w:szCs w:val="28"/>
        </w:rPr>
        <w:t>или иное?</w:t>
      </w:r>
    </w:p>
    <w:p w:rsidR="0083044A" w:rsidRPr="003F2FE0" w:rsidRDefault="0083044A" w:rsidP="00D11A22">
      <w:pPr>
        <w:pStyle w:val="a4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48A4" w:rsidRPr="003F2FE0" w:rsidRDefault="0083044A" w:rsidP="002147E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</w:t>
      </w:r>
      <w:r w:rsidR="00B948A4" w:rsidRPr="003F2FE0">
        <w:rPr>
          <w:rFonts w:ascii="Times New Roman" w:hAnsi="Times New Roman" w:cs="Times New Roman"/>
          <w:sz w:val="28"/>
          <w:szCs w:val="28"/>
        </w:rPr>
        <w:t xml:space="preserve"> 9.1</w:t>
      </w:r>
      <w:r w:rsidRPr="003F2FE0">
        <w:rPr>
          <w:rFonts w:ascii="Times New Roman" w:hAnsi="Times New Roman" w:cs="Times New Roman"/>
          <w:sz w:val="28"/>
          <w:szCs w:val="28"/>
        </w:rPr>
        <w:t xml:space="preserve"> </w:t>
      </w:r>
      <w:r w:rsidR="005008DB" w:rsidRPr="003F2FE0">
        <w:rPr>
          <w:rFonts w:ascii="Times New Roman" w:hAnsi="Times New Roman" w:cs="Times New Roman"/>
          <w:sz w:val="28"/>
          <w:szCs w:val="28"/>
        </w:rPr>
        <w:t xml:space="preserve"> </w:t>
      </w:r>
      <w:r w:rsidR="00B948A4" w:rsidRPr="003F2FE0">
        <w:rPr>
          <w:rFonts w:ascii="Times New Roman" w:hAnsi="Times New Roman" w:cs="Times New Roman"/>
          <w:sz w:val="28"/>
          <w:szCs w:val="28"/>
        </w:rPr>
        <w:t xml:space="preserve">ЭСП могут приниматься только ограниченным кругом лиц, среди которых нет </w:t>
      </w:r>
      <w:r w:rsidR="005008DB" w:rsidRPr="003F2FE0">
        <w:rPr>
          <w:rFonts w:ascii="Times New Roman" w:hAnsi="Times New Roman" w:cs="Times New Roman"/>
          <w:sz w:val="28"/>
          <w:szCs w:val="28"/>
        </w:rPr>
        <w:t>ф</w:t>
      </w:r>
      <w:r w:rsidRPr="003F2FE0">
        <w:rPr>
          <w:rFonts w:ascii="Times New Roman" w:hAnsi="Times New Roman" w:cs="Times New Roman"/>
          <w:sz w:val="28"/>
          <w:szCs w:val="28"/>
        </w:rPr>
        <w:t>изически</w:t>
      </w:r>
      <w:r w:rsidR="00D11A22" w:rsidRPr="003F2FE0">
        <w:rPr>
          <w:rFonts w:ascii="Times New Roman" w:hAnsi="Times New Roman" w:cs="Times New Roman"/>
          <w:sz w:val="28"/>
          <w:szCs w:val="28"/>
        </w:rPr>
        <w:t>х лиц (не индивидуальных предпри</w:t>
      </w:r>
      <w:r w:rsidRPr="003F2FE0">
        <w:rPr>
          <w:rFonts w:ascii="Times New Roman" w:hAnsi="Times New Roman" w:cs="Times New Roman"/>
          <w:sz w:val="28"/>
          <w:szCs w:val="28"/>
        </w:rPr>
        <w:t>нимателей</w:t>
      </w:r>
      <w:r w:rsidR="005008DB" w:rsidRPr="003F2FE0">
        <w:rPr>
          <w:rFonts w:ascii="Times New Roman" w:hAnsi="Times New Roman" w:cs="Times New Roman"/>
          <w:sz w:val="28"/>
          <w:szCs w:val="28"/>
        </w:rPr>
        <w:t>). В этой связи не ясно, как</w:t>
      </w:r>
      <w:r w:rsidR="00D11A22" w:rsidRPr="003F2FE0">
        <w:rPr>
          <w:rFonts w:ascii="Times New Roman" w:hAnsi="Times New Roman" w:cs="Times New Roman"/>
          <w:sz w:val="28"/>
          <w:szCs w:val="28"/>
        </w:rPr>
        <w:t xml:space="preserve">им образом </w:t>
      </w:r>
      <w:r w:rsidR="005008DB" w:rsidRPr="003F2FE0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Pr="003F2FE0">
        <w:rPr>
          <w:rFonts w:ascii="Times New Roman" w:hAnsi="Times New Roman" w:cs="Times New Roman"/>
          <w:sz w:val="28"/>
          <w:szCs w:val="28"/>
        </w:rPr>
        <w:t>расчеты с использованием банковских карт и иных электронных сре</w:t>
      </w:r>
      <w:proofErr w:type="gramStart"/>
      <w:r w:rsidRPr="003F2FE0">
        <w:rPr>
          <w:rFonts w:ascii="Times New Roman" w:hAnsi="Times New Roman" w:cs="Times New Roman"/>
          <w:sz w:val="28"/>
          <w:szCs w:val="28"/>
        </w:rPr>
        <w:t xml:space="preserve">дств </w:t>
      </w:r>
      <w:r w:rsidR="00D11A22" w:rsidRPr="003F2FE0">
        <w:rPr>
          <w:rFonts w:ascii="Times New Roman" w:hAnsi="Times New Roman" w:cs="Times New Roman"/>
          <w:sz w:val="28"/>
          <w:szCs w:val="28"/>
        </w:rPr>
        <w:t xml:space="preserve"> </w:t>
      </w:r>
      <w:r w:rsidRPr="003F2FE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F2FE0">
        <w:rPr>
          <w:rFonts w:ascii="Times New Roman" w:hAnsi="Times New Roman" w:cs="Times New Roman"/>
          <w:sz w:val="28"/>
          <w:szCs w:val="28"/>
        </w:rPr>
        <w:t>атежа  между физическими лицами, в том числе</w:t>
      </w:r>
      <w:r w:rsidR="002147E4" w:rsidRPr="003F2FE0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spellStart"/>
      <w:r w:rsidR="002147E4" w:rsidRPr="003F2FE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147E4" w:rsidRPr="003F2FE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948A4" w:rsidRPr="003F2FE0">
        <w:rPr>
          <w:rFonts w:ascii="Times New Roman" w:hAnsi="Times New Roman" w:cs="Times New Roman"/>
          <w:sz w:val="28"/>
          <w:szCs w:val="28"/>
        </w:rPr>
        <w:t>?</w:t>
      </w:r>
    </w:p>
    <w:p w:rsidR="00B948A4" w:rsidRPr="003F2FE0" w:rsidRDefault="00B948A4" w:rsidP="002147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948A4" w:rsidRPr="003F2FE0" w:rsidRDefault="005008DB" w:rsidP="002147E4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FE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11A22" w:rsidRPr="003F2FE0">
        <w:rPr>
          <w:rFonts w:ascii="Times New Roman" w:hAnsi="Times New Roman" w:cs="Times New Roman"/>
          <w:sz w:val="28"/>
          <w:szCs w:val="28"/>
        </w:rPr>
        <w:t xml:space="preserve"> пунктом 3 статьи</w:t>
      </w:r>
      <w:r w:rsidRPr="003F2FE0">
        <w:rPr>
          <w:rFonts w:ascii="Times New Roman" w:hAnsi="Times New Roman" w:cs="Times New Roman"/>
          <w:sz w:val="28"/>
          <w:szCs w:val="28"/>
        </w:rPr>
        <w:t xml:space="preserve"> 9.1 и</w:t>
      </w:r>
      <w:r w:rsidR="00B948A4" w:rsidRPr="003F2FE0">
        <w:rPr>
          <w:rFonts w:ascii="Times New Roman" w:hAnsi="Times New Roman" w:cs="Times New Roman"/>
          <w:sz w:val="28"/>
          <w:szCs w:val="28"/>
        </w:rPr>
        <w:t xml:space="preserve">ностранный поставщик платежных услуг не вправе </w:t>
      </w:r>
      <w:r w:rsidRPr="003F2FE0">
        <w:rPr>
          <w:rFonts w:ascii="Times New Roman" w:hAnsi="Times New Roman" w:cs="Times New Roman"/>
          <w:sz w:val="28"/>
          <w:szCs w:val="28"/>
        </w:rPr>
        <w:t>оказывать услуги по переводу денежных сре</w:t>
      </w:r>
      <w:proofErr w:type="gramStart"/>
      <w:r w:rsidRPr="003F2FE0">
        <w:rPr>
          <w:rFonts w:ascii="Times New Roman" w:hAnsi="Times New Roman" w:cs="Times New Roman"/>
          <w:sz w:val="28"/>
          <w:szCs w:val="28"/>
        </w:rPr>
        <w:t xml:space="preserve">дств </w:t>
      </w:r>
      <w:r w:rsidR="00B948A4" w:rsidRPr="003F2FE0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="00B948A4" w:rsidRPr="003F2FE0">
        <w:rPr>
          <w:rFonts w:ascii="Times New Roman" w:hAnsi="Times New Roman" w:cs="Times New Roman"/>
          <w:sz w:val="28"/>
          <w:szCs w:val="28"/>
        </w:rPr>
        <w:t>иентам</w:t>
      </w:r>
      <w:r w:rsidR="00D11A22" w:rsidRPr="003F2FE0">
        <w:rPr>
          <w:rFonts w:ascii="Times New Roman" w:hAnsi="Times New Roman" w:cs="Times New Roman"/>
          <w:sz w:val="28"/>
          <w:szCs w:val="28"/>
        </w:rPr>
        <w:t>-</w:t>
      </w:r>
      <w:r w:rsidR="00B948A4" w:rsidRPr="003F2FE0">
        <w:rPr>
          <w:rFonts w:ascii="Times New Roman" w:hAnsi="Times New Roman" w:cs="Times New Roman"/>
          <w:sz w:val="28"/>
          <w:szCs w:val="28"/>
        </w:rPr>
        <w:t>резидентам и предоставл</w:t>
      </w:r>
      <w:r w:rsidRPr="003F2FE0">
        <w:rPr>
          <w:rFonts w:ascii="Times New Roman" w:hAnsi="Times New Roman" w:cs="Times New Roman"/>
          <w:sz w:val="28"/>
          <w:szCs w:val="28"/>
        </w:rPr>
        <w:t>я</w:t>
      </w:r>
      <w:r w:rsidR="00D11A22" w:rsidRPr="003F2FE0">
        <w:rPr>
          <w:rFonts w:ascii="Times New Roman" w:hAnsi="Times New Roman" w:cs="Times New Roman"/>
          <w:sz w:val="28"/>
          <w:szCs w:val="28"/>
        </w:rPr>
        <w:t>ть им электронные средства платежа</w:t>
      </w:r>
      <w:r w:rsidR="00B948A4" w:rsidRPr="003F2FE0">
        <w:rPr>
          <w:rFonts w:ascii="Times New Roman" w:hAnsi="Times New Roman" w:cs="Times New Roman"/>
          <w:sz w:val="28"/>
          <w:szCs w:val="28"/>
        </w:rPr>
        <w:t>.  Буквально это означает, что запрет распространяется на любые</w:t>
      </w:r>
      <w:r w:rsidR="00D11A22" w:rsidRPr="003F2FE0">
        <w:rPr>
          <w:rFonts w:ascii="Times New Roman" w:hAnsi="Times New Roman" w:cs="Times New Roman"/>
          <w:sz w:val="28"/>
          <w:szCs w:val="28"/>
        </w:rPr>
        <w:t xml:space="preserve"> переводы денежных средств (в том числе электронных денежных средств</w:t>
      </w:r>
      <w:r w:rsidR="00B948A4" w:rsidRPr="003F2FE0">
        <w:rPr>
          <w:rFonts w:ascii="Times New Roman" w:hAnsi="Times New Roman" w:cs="Times New Roman"/>
          <w:sz w:val="28"/>
          <w:szCs w:val="28"/>
        </w:rPr>
        <w:t>) резидентами РФ из-за рубежа и что резидент РФ не впр</w:t>
      </w:r>
      <w:r w:rsidR="00D11A22" w:rsidRPr="003F2FE0">
        <w:rPr>
          <w:rFonts w:ascii="Times New Roman" w:hAnsi="Times New Roman" w:cs="Times New Roman"/>
          <w:sz w:val="28"/>
          <w:szCs w:val="28"/>
        </w:rPr>
        <w:t>аве получать за пределами РФ электронное средство платежа</w:t>
      </w:r>
      <w:r w:rsidR="00B948A4" w:rsidRPr="003F2FE0">
        <w:rPr>
          <w:rFonts w:ascii="Times New Roman" w:hAnsi="Times New Roman" w:cs="Times New Roman"/>
          <w:sz w:val="28"/>
          <w:szCs w:val="28"/>
        </w:rPr>
        <w:t xml:space="preserve"> иност</w:t>
      </w:r>
      <w:r w:rsidR="00D11A22" w:rsidRPr="003F2FE0">
        <w:rPr>
          <w:rFonts w:ascii="Times New Roman" w:hAnsi="Times New Roman" w:cs="Times New Roman"/>
          <w:sz w:val="28"/>
          <w:szCs w:val="28"/>
        </w:rPr>
        <w:t>ранного эмитента</w:t>
      </w:r>
      <w:r w:rsidR="00B948A4" w:rsidRPr="003F2FE0">
        <w:rPr>
          <w:rFonts w:ascii="Times New Roman" w:hAnsi="Times New Roman" w:cs="Times New Roman"/>
          <w:sz w:val="28"/>
          <w:szCs w:val="28"/>
        </w:rPr>
        <w:t xml:space="preserve">. </w:t>
      </w:r>
      <w:r w:rsidRPr="003F2FE0">
        <w:rPr>
          <w:rFonts w:ascii="Times New Roman" w:hAnsi="Times New Roman" w:cs="Times New Roman"/>
          <w:sz w:val="28"/>
          <w:szCs w:val="28"/>
        </w:rPr>
        <w:t>Просим ут</w:t>
      </w:r>
      <w:r w:rsidR="00DD58CF" w:rsidRPr="003F2FE0">
        <w:rPr>
          <w:rFonts w:ascii="Times New Roman" w:hAnsi="Times New Roman" w:cs="Times New Roman"/>
          <w:sz w:val="28"/>
          <w:szCs w:val="28"/>
        </w:rPr>
        <w:t>очнить</w:t>
      </w:r>
      <w:r w:rsidR="00D11A22" w:rsidRPr="003F2FE0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D21976">
        <w:rPr>
          <w:rFonts w:ascii="Times New Roman" w:hAnsi="Times New Roman" w:cs="Times New Roman"/>
          <w:sz w:val="28"/>
          <w:szCs w:val="28"/>
        </w:rPr>
        <w:t xml:space="preserve"> в отношении указанных операций исключительно на территории РФ.</w:t>
      </w:r>
    </w:p>
    <w:p w:rsidR="00EA1CE2" w:rsidRPr="00D21976" w:rsidRDefault="00EA1CE2" w:rsidP="00D21976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налич</w:t>
      </w:r>
      <w:r w:rsidR="003F5555" w:rsidRPr="00390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 граждан РФ, вступивших в правоотношения с иностранными контрагентами, в том числе на территор</w:t>
      </w:r>
      <w:r w:rsidR="003F5555" w:rsidRPr="00D21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иностранных государств,</w:t>
      </w:r>
      <w:r w:rsidRPr="00D21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просим Вам рассмотреть воз</w:t>
      </w:r>
      <w:r w:rsidR="00D11A22" w:rsidRPr="00D21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можность внесения изменений в пункт 2 статьи</w:t>
      </w:r>
      <w:r w:rsidRPr="00D21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 Федерального Закона № 161-ФЗ и изложить ее в следующей редакции: </w:t>
      </w:r>
      <w:proofErr w:type="gramStart"/>
      <w:r w:rsidR="003F5555" w:rsidRPr="00D21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Клиент - физическое лицо может предоставлять денежные средства оператору электронных денежных средств с использованием банковского счета или без использования банковского счета, а также за счет денежных средств, предоставляемых юридическими лицами</w:t>
      </w:r>
      <w:r w:rsidR="003F5555"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том числе нерезидентами </w:t>
      </w:r>
      <w:r w:rsidR="00F0660B"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</w:t>
      </w:r>
      <w:r w:rsidR="00D21976"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использования </w:t>
      </w:r>
      <w:r w:rsidR="003F5555"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электронного средства</w:t>
      </w:r>
      <w:r w:rsidR="00F0660B"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платежа, предусмотренного</w:t>
      </w:r>
      <w:r w:rsidR="003F5555"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anchor="dst17" w:history="1">
        <w:r w:rsidR="003F5555" w:rsidRPr="00D2197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  <w:r w:rsidR="00F0660B" w:rsidRPr="003904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статьи 10 и пунктом 5.1</w:t>
        </w:r>
        <w:r w:rsidR="00D11A22" w:rsidRPr="003904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части 5</w:t>
        </w:r>
        <w:r w:rsidR="003F5555" w:rsidRPr="003904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статьи 10</w:t>
        </w:r>
      </w:hyperlink>
      <w:r w:rsidR="003F5555"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0660B" w:rsidRPr="00390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5555" w:rsidRPr="00390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настоящего Федерального закона</w:t>
      </w:r>
      <w:r w:rsidR="00F0660B" w:rsidRPr="00390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90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индивидуальными предпринимателями оператору электронных денежных</w:t>
      </w:r>
      <w:proofErr w:type="gramEnd"/>
      <w:r w:rsidRPr="00390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</w:t>
      </w:r>
      <w:proofErr w:type="gramStart"/>
      <w:r w:rsidRPr="00390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в п</w:t>
      </w:r>
      <w:proofErr w:type="gramEnd"/>
      <w:r w:rsidRPr="003904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ользу такого клиента - физического лица, если договором между оператором электронных денежных средств и клиентом - физическим лицом предусмотрена такая возможность</w:t>
      </w:r>
      <w:r w:rsidR="00D11A22"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21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F39E5" w:rsidRPr="003F2FE0" w:rsidRDefault="008F39E5" w:rsidP="002147E4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674" w:rsidRPr="003F2FE0" w:rsidRDefault="00570674" w:rsidP="00D11A22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FD" w:rsidRPr="003F2FE0" w:rsidRDefault="00AD2AFD" w:rsidP="00D11A22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D2AFD" w:rsidRPr="003F2FE0" w:rsidSect="000B3799">
      <w:pgSz w:w="11900" w:h="16840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48D"/>
    <w:multiLevelType w:val="hybridMultilevel"/>
    <w:tmpl w:val="7CE84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14D3"/>
    <w:multiLevelType w:val="hybridMultilevel"/>
    <w:tmpl w:val="3E186A80"/>
    <w:lvl w:ilvl="0" w:tplc="0419000F">
      <w:start w:val="5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185672F"/>
    <w:multiLevelType w:val="hybridMultilevel"/>
    <w:tmpl w:val="263C2A58"/>
    <w:lvl w:ilvl="0" w:tplc="F490DA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0F31CE"/>
    <w:multiLevelType w:val="hybridMultilevel"/>
    <w:tmpl w:val="7FBCA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23A4E"/>
    <w:multiLevelType w:val="hybridMultilevel"/>
    <w:tmpl w:val="C7E6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FD"/>
    <w:rsid w:val="0002738B"/>
    <w:rsid w:val="0003422C"/>
    <w:rsid w:val="000434AF"/>
    <w:rsid w:val="000529BC"/>
    <w:rsid w:val="00063B2D"/>
    <w:rsid w:val="00086056"/>
    <w:rsid w:val="000B3799"/>
    <w:rsid w:val="000F19E1"/>
    <w:rsid w:val="00106691"/>
    <w:rsid w:val="00181A0C"/>
    <w:rsid w:val="001863E9"/>
    <w:rsid w:val="001B130E"/>
    <w:rsid w:val="002147E4"/>
    <w:rsid w:val="00297A56"/>
    <w:rsid w:val="002E31E8"/>
    <w:rsid w:val="00390423"/>
    <w:rsid w:val="00394E90"/>
    <w:rsid w:val="003B6E78"/>
    <w:rsid w:val="003E605E"/>
    <w:rsid w:val="003F2FE0"/>
    <w:rsid w:val="003F5555"/>
    <w:rsid w:val="005008DB"/>
    <w:rsid w:val="0052249F"/>
    <w:rsid w:val="00570674"/>
    <w:rsid w:val="00587BFE"/>
    <w:rsid w:val="0059718A"/>
    <w:rsid w:val="005B1BC0"/>
    <w:rsid w:val="00661E21"/>
    <w:rsid w:val="006A4D5A"/>
    <w:rsid w:val="007428B4"/>
    <w:rsid w:val="0079218C"/>
    <w:rsid w:val="007E5F18"/>
    <w:rsid w:val="007F4BF2"/>
    <w:rsid w:val="00800D64"/>
    <w:rsid w:val="0083044A"/>
    <w:rsid w:val="008E2BE0"/>
    <w:rsid w:val="008F39E5"/>
    <w:rsid w:val="00930054"/>
    <w:rsid w:val="00986633"/>
    <w:rsid w:val="00A95A76"/>
    <w:rsid w:val="00AD2AFD"/>
    <w:rsid w:val="00B043A4"/>
    <w:rsid w:val="00B20BAD"/>
    <w:rsid w:val="00B534BA"/>
    <w:rsid w:val="00B948A4"/>
    <w:rsid w:val="00BE5FAB"/>
    <w:rsid w:val="00C726D1"/>
    <w:rsid w:val="00CB0E26"/>
    <w:rsid w:val="00D0468C"/>
    <w:rsid w:val="00D11A22"/>
    <w:rsid w:val="00D21976"/>
    <w:rsid w:val="00D43902"/>
    <w:rsid w:val="00DD58CF"/>
    <w:rsid w:val="00DF41F8"/>
    <w:rsid w:val="00EA1CE2"/>
    <w:rsid w:val="00ED4E65"/>
    <w:rsid w:val="00F0660B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5B1B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555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B534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34B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34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34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34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3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5B1B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F555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B534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34B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34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34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34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3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2232/03ebf71c62b68eb576cde1f7019e7a22b553d2f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FC63-7C15-4F54-877B-CC698804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Алевтина</dc:creator>
  <cp:lastModifiedBy>Мочалов Вячеслав Витальевич</cp:lastModifiedBy>
  <cp:revision>4</cp:revision>
  <cp:lastPrinted>2018-12-27T08:24:00Z</cp:lastPrinted>
  <dcterms:created xsi:type="dcterms:W3CDTF">2018-12-27T06:32:00Z</dcterms:created>
  <dcterms:modified xsi:type="dcterms:W3CDTF">2018-12-27T08:25:00Z</dcterms:modified>
</cp:coreProperties>
</file>