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5D" w:rsidRPr="00A44E5D" w:rsidRDefault="00A44E5D" w:rsidP="00CE5135">
      <w:pPr>
        <w:jc w:val="center"/>
        <w:rPr>
          <w:rFonts w:ascii="Times New Roman" w:hAnsi="Times New Roman" w:cs="Times New Roman"/>
          <w:b/>
          <w:bCs/>
          <w:sz w:val="28"/>
          <w:szCs w:val="28"/>
        </w:rPr>
      </w:pPr>
      <w:r w:rsidRPr="00A44E5D">
        <w:rPr>
          <w:rFonts w:ascii="Times New Roman" w:hAnsi="Times New Roman" w:cs="Times New Roman"/>
          <w:b/>
          <w:bCs/>
          <w:noProof/>
          <w:sz w:val="28"/>
          <w:szCs w:val="28"/>
          <w:lang w:eastAsia="ru-RU"/>
        </w:rPr>
        <w:drawing>
          <wp:inline distT="0" distB="0" distL="0" distR="0" wp14:anchorId="175FE87F" wp14:editId="556707BC">
            <wp:extent cx="802005" cy="664210"/>
            <wp:effectExtent l="0" t="0" r="0" b="254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05" cy="664210"/>
                    </a:xfrm>
                    <a:prstGeom prst="rect">
                      <a:avLst/>
                    </a:prstGeom>
                    <a:solidFill>
                      <a:srgbClr val="FFFFFF"/>
                    </a:solidFill>
                    <a:ln>
                      <a:noFill/>
                    </a:ln>
                  </pic:spPr>
                </pic:pic>
              </a:graphicData>
            </a:graphic>
          </wp:inline>
        </w:drawing>
      </w:r>
    </w:p>
    <w:p w:rsidR="00A44E5D" w:rsidRPr="00CE5135" w:rsidRDefault="00A44E5D" w:rsidP="00CE5135">
      <w:pPr>
        <w:rPr>
          <w:rFonts w:ascii="Times New Roman" w:hAnsi="Times New Roman" w:cs="Times New Roman"/>
          <w:b/>
          <w:bCs/>
          <w:color w:val="1F497D" w:themeColor="text2"/>
          <w:sz w:val="36"/>
          <w:szCs w:val="36"/>
        </w:rPr>
      </w:pPr>
      <w:r w:rsidRPr="00CE5135">
        <w:rPr>
          <w:rFonts w:ascii="Times New Roman" w:hAnsi="Times New Roman" w:cs="Times New Roman"/>
          <w:b/>
          <w:bCs/>
          <w:color w:val="1F497D" w:themeColor="text2"/>
          <w:sz w:val="36"/>
          <w:szCs w:val="36"/>
        </w:rPr>
        <w:t>Р</w:t>
      </w:r>
      <w:r w:rsidR="00CE5135" w:rsidRPr="00CE5135">
        <w:rPr>
          <w:rFonts w:ascii="Times New Roman" w:hAnsi="Times New Roman" w:cs="Times New Roman"/>
          <w:b/>
          <w:bCs/>
          <w:color w:val="1F497D" w:themeColor="text2"/>
          <w:sz w:val="36"/>
          <w:szCs w:val="36"/>
        </w:rPr>
        <w:t xml:space="preserve">оссийский союз промышленников и </w:t>
      </w:r>
      <w:r w:rsidRPr="00CE5135">
        <w:rPr>
          <w:rFonts w:ascii="Times New Roman" w:hAnsi="Times New Roman" w:cs="Times New Roman"/>
          <w:b/>
          <w:bCs/>
          <w:color w:val="1F497D" w:themeColor="text2"/>
          <w:sz w:val="36"/>
          <w:szCs w:val="36"/>
        </w:rPr>
        <w:t>предпринимателей</w:t>
      </w:r>
    </w:p>
    <w:p w:rsidR="00A44E5D" w:rsidRDefault="00A44E5D" w:rsidP="00A44E5D">
      <w:pPr>
        <w:ind w:firstLine="709"/>
        <w:jc w:val="both"/>
        <w:rPr>
          <w:rFonts w:ascii="Times New Roman" w:hAnsi="Times New Roman" w:cs="Times New Roman"/>
          <w:b/>
          <w:bCs/>
          <w:i/>
          <w:color w:val="1F497D" w:themeColor="text2"/>
          <w:sz w:val="28"/>
          <w:szCs w:val="28"/>
        </w:rPr>
      </w:pPr>
    </w:p>
    <w:p w:rsidR="00CE5135" w:rsidRPr="00CE5135" w:rsidRDefault="00CE5135" w:rsidP="00A44E5D">
      <w:pPr>
        <w:ind w:firstLine="709"/>
        <w:jc w:val="both"/>
        <w:rPr>
          <w:rFonts w:ascii="Times New Roman" w:hAnsi="Times New Roman" w:cs="Times New Roman"/>
          <w:b/>
          <w:bCs/>
          <w:i/>
          <w:color w:val="1F497D" w:themeColor="text2"/>
          <w:sz w:val="28"/>
          <w:szCs w:val="28"/>
        </w:rPr>
      </w:pPr>
    </w:p>
    <w:p w:rsidR="00A44E5D" w:rsidRPr="00CE5135" w:rsidRDefault="00A44E5D" w:rsidP="00CE5135">
      <w:pPr>
        <w:ind w:firstLine="709"/>
        <w:jc w:val="center"/>
        <w:rPr>
          <w:rFonts w:ascii="Times New Roman" w:hAnsi="Times New Roman" w:cs="Times New Roman"/>
          <w:b/>
          <w:bCs/>
          <w:i/>
          <w:color w:val="1F497D" w:themeColor="text2"/>
          <w:sz w:val="36"/>
          <w:szCs w:val="36"/>
        </w:rPr>
      </w:pPr>
      <w:r w:rsidRPr="00CE5135">
        <w:rPr>
          <w:rFonts w:ascii="Times New Roman" w:hAnsi="Times New Roman" w:cs="Times New Roman"/>
          <w:b/>
          <w:bCs/>
          <w:i/>
          <w:color w:val="1F497D" w:themeColor="text2"/>
          <w:sz w:val="36"/>
          <w:szCs w:val="36"/>
        </w:rPr>
        <w:t>О КЛЮЧЕВЫХ НАПРАВЛЕНИЯХ ПОЛИТИКИ</w:t>
      </w:r>
    </w:p>
    <w:p w:rsidR="00A44E5D" w:rsidRDefault="00A44E5D" w:rsidP="00CE5135">
      <w:pPr>
        <w:ind w:firstLine="709"/>
        <w:jc w:val="center"/>
        <w:rPr>
          <w:rFonts w:ascii="Times New Roman" w:hAnsi="Times New Roman" w:cs="Times New Roman"/>
          <w:b/>
          <w:bCs/>
          <w:i/>
          <w:color w:val="1F497D" w:themeColor="text2"/>
          <w:sz w:val="36"/>
          <w:szCs w:val="36"/>
        </w:rPr>
      </w:pPr>
      <w:r w:rsidRPr="00CE5135">
        <w:rPr>
          <w:rFonts w:ascii="Times New Roman" w:hAnsi="Times New Roman" w:cs="Times New Roman"/>
          <w:b/>
          <w:bCs/>
          <w:i/>
          <w:color w:val="1F497D" w:themeColor="text2"/>
          <w:sz w:val="36"/>
          <w:szCs w:val="36"/>
        </w:rPr>
        <w:t>В ЭНЕРГЕТИЧЕСКОМ СЕКТОРЕ</w:t>
      </w:r>
    </w:p>
    <w:p w:rsidR="00CE5135" w:rsidRDefault="00CE5135" w:rsidP="00CE5135">
      <w:pPr>
        <w:ind w:firstLine="709"/>
        <w:jc w:val="center"/>
        <w:rPr>
          <w:rFonts w:ascii="Times New Roman" w:hAnsi="Times New Roman" w:cs="Times New Roman"/>
          <w:b/>
          <w:bCs/>
          <w:i/>
          <w:color w:val="1F497D" w:themeColor="text2"/>
          <w:sz w:val="36"/>
          <w:szCs w:val="36"/>
        </w:rPr>
      </w:pPr>
    </w:p>
    <w:p w:rsidR="00CE5135" w:rsidRPr="00CE5135" w:rsidRDefault="00CE5135" w:rsidP="00CE5135">
      <w:pPr>
        <w:ind w:firstLine="709"/>
        <w:jc w:val="center"/>
        <w:rPr>
          <w:rFonts w:ascii="Times New Roman" w:hAnsi="Times New Roman" w:cs="Times New Roman"/>
          <w:b/>
          <w:bCs/>
          <w:i/>
          <w:color w:val="1F497D" w:themeColor="text2"/>
          <w:sz w:val="36"/>
          <w:szCs w:val="36"/>
        </w:rPr>
      </w:pPr>
    </w:p>
    <w:p w:rsidR="00A44E5D" w:rsidRPr="00CE5135" w:rsidRDefault="00A44E5D" w:rsidP="00CE5135">
      <w:pPr>
        <w:jc w:val="both"/>
        <w:rPr>
          <w:rFonts w:ascii="Times New Roman" w:hAnsi="Times New Roman" w:cs="Times New Roman"/>
          <w:b/>
          <w:bCs/>
          <w:i/>
          <w:color w:val="1F497D" w:themeColor="text2"/>
          <w:sz w:val="32"/>
          <w:szCs w:val="32"/>
        </w:rPr>
      </w:pPr>
      <w:r w:rsidRPr="00CE5135">
        <w:rPr>
          <w:rFonts w:ascii="Times New Roman" w:hAnsi="Times New Roman" w:cs="Times New Roman"/>
          <w:b/>
          <w:bCs/>
          <w:i/>
          <w:color w:val="1F497D" w:themeColor="text2"/>
          <w:sz w:val="32"/>
          <w:szCs w:val="32"/>
        </w:rPr>
        <w:t>(Обзор основных предложений в связи с подготовкой проекта Энергетической стратегии России на период до 2035 года)</w:t>
      </w:r>
    </w:p>
    <w:p w:rsidR="00A44E5D" w:rsidRPr="00CE5135" w:rsidRDefault="00A44E5D" w:rsidP="00A44E5D">
      <w:pPr>
        <w:ind w:firstLine="709"/>
        <w:jc w:val="both"/>
        <w:rPr>
          <w:rFonts w:ascii="Times New Roman" w:hAnsi="Times New Roman" w:cs="Times New Roman"/>
          <w:b/>
          <w:bCs/>
          <w:color w:val="1F497D" w:themeColor="text2"/>
          <w:sz w:val="28"/>
          <w:szCs w:val="28"/>
        </w:rPr>
      </w:pPr>
    </w:p>
    <w:p w:rsidR="00A44E5D" w:rsidRPr="00CE5135" w:rsidRDefault="00A44E5D" w:rsidP="00A44E5D">
      <w:pPr>
        <w:ind w:firstLine="709"/>
        <w:jc w:val="both"/>
        <w:rPr>
          <w:rFonts w:ascii="Times New Roman" w:hAnsi="Times New Roman" w:cs="Times New Roman"/>
          <w:b/>
          <w:bCs/>
          <w:color w:val="1F497D" w:themeColor="text2"/>
          <w:sz w:val="28"/>
          <w:szCs w:val="28"/>
        </w:rPr>
      </w:pPr>
    </w:p>
    <w:p w:rsidR="00A44E5D" w:rsidRPr="00CE5135" w:rsidRDefault="00A44E5D" w:rsidP="00A44E5D">
      <w:pPr>
        <w:ind w:firstLine="709"/>
        <w:jc w:val="both"/>
        <w:rPr>
          <w:rFonts w:ascii="Times New Roman" w:hAnsi="Times New Roman" w:cs="Times New Roman"/>
          <w:b/>
          <w:bCs/>
          <w:color w:val="1F497D" w:themeColor="text2"/>
          <w:sz w:val="28"/>
          <w:szCs w:val="28"/>
        </w:rPr>
      </w:pPr>
      <w:r w:rsidRPr="00CE5135">
        <w:rPr>
          <w:rFonts w:ascii="Times New Roman" w:hAnsi="Times New Roman" w:cs="Times New Roman"/>
          <w:b/>
          <w:bCs/>
          <w:color w:val="1F497D" w:themeColor="text2"/>
          <w:sz w:val="28"/>
          <w:szCs w:val="28"/>
        </w:rPr>
        <w:t xml:space="preserve"> </w:t>
      </w:r>
    </w:p>
    <w:p w:rsidR="00A44E5D" w:rsidRPr="00CE5135" w:rsidRDefault="00A44E5D" w:rsidP="00A44E5D">
      <w:pPr>
        <w:ind w:firstLine="709"/>
        <w:jc w:val="both"/>
        <w:rPr>
          <w:rFonts w:ascii="Times New Roman" w:hAnsi="Times New Roman" w:cs="Times New Roman"/>
          <w:b/>
          <w:bCs/>
          <w:color w:val="1F497D" w:themeColor="text2"/>
          <w:sz w:val="28"/>
          <w:szCs w:val="28"/>
        </w:rPr>
      </w:pPr>
    </w:p>
    <w:p w:rsidR="00A44E5D" w:rsidRDefault="00A44E5D" w:rsidP="00A44E5D">
      <w:pPr>
        <w:ind w:firstLine="709"/>
        <w:jc w:val="both"/>
        <w:rPr>
          <w:rFonts w:ascii="Times New Roman" w:hAnsi="Times New Roman" w:cs="Times New Roman"/>
          <w:b/>
          <w:bCs/>
          <w:color w:val="1F497D" w:themeColor="text2"/>
          <w:sz w:val="28"/>
          <w:szCs w:val="28"/>
        </w:rPr>
      </w:pPr>
    </w:p>
    <w:p w:rsidR="00CE5135" w:rsidRDefault="00CE5135" w:rsidP="00A44E5D">
      <w:pPr>
        <w:ind w:firstLine="709"/>
        <w:jc w:val="both"/>
        <w:rPr>
          <w:rFonts w:ascii="Times New Roman" w:hAnsi="Times New Roman" w:cs="Times New Roman"/>
          <w:b/>
          <w:bCs/>
          <w:color w:val="1F497D" w:themeColor="text2"/>
          <w:sz w:val="28"/>
          <w:szCs w:val="28"/>
        </w:rPr>
      </w:pPr>
    </w:p>
    <w:p w:rsidR="00CE5135" w:rsidRDefault="00CE5135" w:rsidP="00A44E5D">
      <w:pPr>
        <w:ind w:firstLine="709"/>
        <w:jc w:val="both"/>
        <w:rPr>
          <w:rFonts w:ascii="Times New Roman" w:hAnsi="Times New Roman" w:cs="Times New Roman"/>
          <w:b/>
          <w:bCs/>
          <w:color w:val="1F497D" w:themeColor="text2"/>
          <w:sz w:val="28"/>
          <w:szCs w:val="28"/>
        </w:rPr>
      </w:pPr>
    </w:p>
    <w:p w:rsidR="00CE5135" w:rsidRDefault="00CE5135" w:rsidP="00A44E5D">
      <w:pPr>
        <w:ind w:firstLine="709"/>
        <w:jc w:val="both"/>
        <w:rPr>
          <w:rFonts w:ascii="Times New Roman" w:hAnsi="Times New Roman" w:cs="Times New Roman"/>
          <w:b/>
          <w:bCs/>
          <w:color w:val="1F497D" w:themeColor="text2"/>
          <w:sz w:val="28"/>
          <w:szCs w:val="28"/>
        </w:rPr>
      </w:pPr>
    </w:p>
    <w:p w:rsidR="00CE5135" w:rsidRDefault="00CE5135" w:rsidP="00A44E5D">
      <w:pPr>
        <w:ind w:firstLine="709"/>
        <w:jc w:val="both"/>
        <w:rPr>
          <w:rFonts w:ascii="Times New Roman" w:hAnsi="Times New Roman" w:cs="Times New Roman"/>
          <w:b/>
          <w:bCs/>
          <w:color w:val="1F497D" w:themeColor="text2"/>
          <w:sz w:val="28"/>
          <w:szCs w:val="28"/>
        </w:rPr>
      </w:pPr>
    </w:p>
    <w:p w:rsidR="00CE5135" w:rsidRPr="00CE5135" w:rsidRDefault="00CE5135" w:rsidP="00A44E5D">
      <w:pPr>
        <w:ind w:firstLine="709"/>
        <w:jc w:val="both"/>
        <w:rPr>
          <w:rFonts w:ascii="Times New Roman" w:hAnsi="Times New Roman" w:cs="Times New Roman"/>
          <w:b/>
          <w:bCs/>
          <w:color w:val="1F497D" w:themeColor="text2"/>
          <w:sz w:val="28"/>
          <w:szCs w:val="28"/>
        </w:rPr>
      </w:pPr>
    </w:p>
    <w:p w:rsidR="00A44E5D" w:rsidRPr="00CE5135" w:rsidRDefault="00A44E5D" w:rsidP="00CE5135">
      <w:pPr>
        <w:jc w:val="center"/>
        <w:rPr>
          <w:rFonts w:ascii="Times New Roman" w:hAnsi="Times New Roman" w:cs="Times New Roman"/>
          <w:bCs/>
          <w:i/>
          <w:color w:val="1F497D" w:themeColor="text2"/>
          <w:sz w:val="28"/>
          <w:szCs w:val="28"/>
        </w:rPr>
      </w:pPr>
      <w:r w:rsidRPr="00CE5135">
        <w:rPr>
          <w:rFonts w:ascii="Times New Roman" w:hAnsi="Times New Roman" w:cs="Times New Roman"/>
          <w:bCs/>
          <w:i/>
          <w:color w:val="1F497D" w:themeColor="text2"/>
          <w:sz w:val="28"/>
          <w:szCs w:val="28"/>
        </w:rPr>
        <w:t>Москва – октябрь 2015</w:t>
      </w:r>
    </w:p>
    <w:p w:rsidR="00BB23E3" w:rsidRPr="007C67F6" w:rsidRDefault="00BB23E3" w:rsidP="00A44E5D">
      <w:pPr>
        <w:ind w:firstLine="709"/>
        <w:jc w:val="both"/>
        <w:rPr>
          <w:rFonts w:ascii="Times New Roman" w:hAnsi="Times New Roman" w:cs="Times New Roman"/>
          <w:color w:val="006666"/>
          <w:sz w:val="28"/>
          <w:szCs w:val="28"/>
        </w:rPr>
      </w:pPr>
    </w:p>
    <w:p w:rsidR="00A44E5D" w:rsidRPr="00CE5135" w:rsidRDefault="00A44E5D" w:rsidP="00CE5135">
      <w:pPr>
        <w:jc w:val="both"/>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1130172456"/>
        <w:docPartObj>
          <w:docPartGallery w:val="Table of Contents"/>
          <w:docPartUnique/>
        </w:docPartObj>
      </w:sdtPr>
      <w:sdtEndPr/>
      <w:sdtContent>
        <w:p w:rsidR="007C67F6" w:rsidRPr="00922DFA" w:rsidRDefault="007C67F6" w:rsidP="00922DFA">
          <w:pPr>
            <w:pStyle w:val="ad"/>
            <w:jc w:val="center"/>
            <w:rPr>
              <w:rFonts w:ascii="Times New Roman" w:hAnsi="Times New Roman" w:cs="Times New Roman"/>
              <w:color w:val="1F497D" w:themeColor="text2"/>
              <w:sz w:val="26"/>
              <w:szCs w:val="26"/>
            </w:rPr>
          </w:pPr>
          <w:r w:rsidRPr="00922DFA">
            <w:rPr>
              <w:rFonts w:ascii="Times New Roman" w:hAnsi="Times New Roman" w:cs="Times New Roman"/>
              <w:color w:val="1F497D" w:themeColor="text2"/>
              <w:sz w:val="26"/>
              <w:szCs w:val="26"/>
            </w:rPr>
            <w:t>Содержание</w:t>
          </w:r>
        </w:p>
        <w:p w:rsidR="00922DFA" w:rsidRPr="00922DFA" w:rsidRDefault="007C67F6" w:rsidP="00922DFA">
          <w:pPr>
            <w:pStyle w:val="11"/>
            <w:tabs>
              <w:tab w:val="right" w:leader="dot" w:pos="9628"/>
            </w:tabs>
            <w:jc w:val="both"/>
            <w:rPr>
              <w:rFonts w:ascii="Times New Roman" w:eastAsiaTheme="minorEastAsia" w:hAnsi="Times New Roman" w:cs="Times New Roman"/>
              <w:noProof/>
              <w:sz w:val="26"/>
              <w:szCs w:val="26"/>
              <w:lang w:eastAsia="ru-RU"/>
            </w:rPr>
          </w:pPr>
          <w:r w:rsidRPr="00922DFA">
            <w:rPr>
              <w:rFonts w:ascii="Times New Roman" w:hAnsi="Times New Roman" w:cs="Times New Roman"/>
              <w:sz w:val="26"/>
              <w:szCs w:val="26"/>
            </w:rPr>
            <w:fldChar w:fldCharType="begin"/>
          </w:r>
          <w:r w:rsidRPr="00922DFA">
            <w:rPr>
              <w:rFonts w:ascii="Times New Roman" w:hAnsi="Times New Roman" w:cs="Times New Roman"/>
              <w:sz w:val="26"/>
              <w:szCs w:val="26"/>
            </w:rPr>
            <w:instrText xml:space="preserve"> TOC \o "1-3" \h \z \u </w:instrText>
          </w:r>
          <w:r w:rsidRPr="00922DFA">
            <w:rPr>
              <w:rFonts w:ascii="Times New Roman" w:hAnsi="Times New Roman" w:cs="Times New Roman"/>
              <w:sz w:val="26"/>
              <w:szCs w:val="26"/>
            </w:rPr>
            <w:fldChar w:fldCharType="separate"/>
          </w:r>
          <w:hyperlink w:anchor="_Toc431474216" w:history="1">
            <w:r w:rsidR="00922DFA" w:rsidRPr="00922DFA">
              <w:rPr>
                <w:rStyle w:val="ae"/>
                <w:rFonts w:ascii="Times New Roman" w:hAnsi="Times New Roman" w:cs="Times New Roman"/>
                <w:noProof/>
                <w:sz w:val="26"/>
                <w:szCs w:val="26"/>
              </w:rPr>
              <w:t>Введение</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_Toc431474216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4</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217" w:history="1">
            <w:r w:rsidR="00922DFA" w:rsidRPr="00922DFA">
              <w:rPr>
                <w:rStyle w:val="ae"/>
                <w:rFonts w:ascii="Times New Roman" w:hAnsi="Times New Roman" w:cs="Times New Roman"/>
                <w:noProof/>
                <w:sz w:val="26"/>
                <w:szCs w:val="26"/>
              </w:rPr>
              <w:t>Общие замечания к структуре и базовым положениям проекта Энергетической стратегии России на период до 2035 года</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_Toc431474217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6</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218" w:history="1">
            <w:r w:rsidR="00922DFA" w:rsidRPr="00922DFA">
              <w:rPr>
                <w:rStyle w:val="ae"/>
                <w:rFonts w:ascii="Times New Roman" w:hAnsi="Times New Roman" w:cs="Times New Roman"/>
                <w:i/>
                <w:noProof/>
                <w:sz w:val="26"/>
                <w:szCs w:val="26"/>
              </w:rPr>
              <w:t>Нефтяная отрасль</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_Toc431474218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9</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219" w:history="1">
            <w:r w:rsidR="00922DFA" w:rsidRPr="00922DFA">
              <w:rPr>
                <w:rStyle w:val="ae"/>
                <w:rFonts w:ascii="Times New Roman" w:hAnsi="Times New Roman" w:cs="Times New Roman"/>
                <w:i/>
                <w:noProof/>
                <w:sz w:val="26"/>
                <w:szCs w:val="26"/>
              </w:rPr>
              <w:t>Газовая отрасль</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_Toc431474219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10</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220" w:history="1">
            <w:r w:rsidR="00922DFA" w:rsidRPr="00922DFA">
              <w:rPr>
                <w:rStyle w:val="ae"/>
                <w:rFonts w:ascii="Times New Roman" w:hAnsi="Times New Roman" w:cs="Times New Roman"/>
                <w:i/>
                <w:noProof/>
                <w:sz w:val="26"/>
                <w:szCs w:val="26"/>
              </w:rPr>
              <w:t>Электро- и теплоэнергетика</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_Toc431474220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11</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221" w:history="1">
            <w:r w:rsidR="00922DFA" w:rsidRPr="00922DFA">
              <w:rPr>
                <w:rStyle w:val="ae"/>
                <w:rFonts w:ascii="Times New Roman" w:hAnsi="Times New Roman" w:cs="Times New Roman"/>
                <w:i/>
                <w:noProof/>
                <w:sz w:val="26"/>
                <w:szCs w:val="26"/>
              </w:rPr>
              <w:t>Потенциал возобновляемой энергетики</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_Toc431474221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15</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222" w:history="1">
            <w:r w:rsidR="00922DFA" w:rsidRPr="00922DFA">
              <w:rPr>
                <w:rStyle w:val="ae"/>
                <w:rFonts w:ascii="Times New Roman" w:hAnsi="Times New Roman" w:cs="Times New Roman"/>
                <w:noProof/>
                <w:sz w:val="26"/>
                <w:szCs w:val="26"/>
              </w:rPr>
              <w:t>Эффективность корпоративной структуры российского нефтегазового рынка, уровня конкуренции и направлений развития</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_Toc431474222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17</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223" w:history="1">
            <w:r w:rsidR="00922DFA" w:rsidRPr="00922DFA">
              <w:rPr>
                <w:rStyle w:val="ae"/>
                <w:rFonts w:ascii="Times New Roman" w:hAnsi="Times New Roman" w:cs="Times New Roman"/>
                <w:i/>
                <w:noProof/>
                <w:sz w:val="26"/>
                <w:szCs w:val="26"/>
              </w:rPr>
              <w:t>Тенденции развития организационной структуры в нефтяной отрасли</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_Toc431474223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17</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14" w:history="1">
            <w:r w:rsidR="00922DFA" w:rsidRPr="00922DFA">
              <w:rPr>
                <w:rStyle w:val="ae"/>
                <w:rFonts w:ascii="Times New Roman" w:hAnsi="Times New Roman" w:cs="Times New Roman"/>
                <w:i/>
                <w:noProof/>
                <w:sz w:val="26"/>
                <w:szCs w:val="26"/>
              </w:rPr>
              <w:t>Тенденции развития организационной структуры в газовой отрасли</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_Toc431474314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19</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15" w:history="1">
            <w:r w:rsidR="00922DFA" w:rsidRPr="00922DFA">
              <w:rPr>
                <w:rStyle w:val="ae"/>
                <w:rFonts w:ascii="Times New Roman" w:hAnsi="Times New Roman" w:cs="Times New Roman"/>
                <w:noProof/>
                <w:sz w:val="26"/>
                <w:szCs w:val="26"/>
              </w:rPr>
              <w:t>Оценка мер государственного стимулирования повышения коэффициента извлечения нефти: соотношение технологически возможного и реально достигаемого КИН</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_Toc431474315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21</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16" w:history="1">
            <w:r w:rsidR="00922DFA" w:rsidRPr="00922DFA">
              <w:rPr>
                <w:rStyle w:val="ae"/>
                <w:rFonts w:ascii="Times New Roman" w:hAnsi="Times New Roman" w:cs="Times New Roman"/>
                <w:noProof/>
                <w:sz w:val="26"/>
                <w:szCs w:val="26"/>
              </w:rPr>
              <w:t>Тарифная политика инфраструктурных монополий: результативность практики «ручного» сдерживания тарифов</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_Toc431474316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23</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17" w:history="1">
            <w:r w:rsidR="00922DFA" w:rsidRPr="00922DFA">
              <w:rPr>
                <w:rStyle w:val="ae"/>
                <w:rFonts w:ascii="Times New Roman" w:hAnsi="Times New Roman" w:cs="Times New Roman"/>
                <w:noProof/>
                <w:sz w:val="26"/>
                <w:szCs w:val="26"/>
              </w:rPr>
              <w:t>Налоговая нагрузка в нефтегазовом секторе: в поисках эффективности</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_Toc431474317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25</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18" w:history="1">
            <w:r w:rsidR="00922DFA" w:rsidRPr="00922DFA">
              <w:rPr>
                <w:rStyle w:val="ae"/>
                <w:rFonts w:ascii="Times New Roman" w:hAnsi="Times New Roman" w:cs="Times New Roman"/>
                <w:i/>
                <w:noProof/>
                <w:sz w:val="26"/>
                <w:szCs w:val="26"/>
              </w:rPr>
              <w:t>Основные выводы</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_Toc431474318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25</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19" w:history="1">
            <w:r w:rsidR="00922DFA" w:rsidRPr="00922DFA">
              <w:rPr>
                <w:rStyle w:val="ae"/>
                <w:rFonts w:ascii="Times New Roman" w:hAnsi="Times New Roman" w:cs="Times New Roman"/>
                <w:i/>
                <w:noProof/>
                <w:sz w:val="26"/>
                <w:szCs w:val="26"/>
              </w:rPr>
              <w:t>Налоги и налоговое бремя</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_Toc431474319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26</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20" w:history="1">
            <w:r w:rsidR="00922DFA" w:rsidRPr="00922DFA">
              <w:rPr>
                <w:rStyle w:val="ae"/>
                <w:rFonts w:ascii="Times New Roman" w:hAnsi="Times New Roman" w:cs="Times New Roman"/>
                <w:noProof/>
                <w:sz w:val="26"/>
                <w:szCs w:val="26"/>
              </w:rPr>
              <w:t>Рыночные позиции нефтедобывающих стран</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_Toc431474320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28</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21" w:history="1">
            <w:r w:rsidR="00922DFA" w:rsidRPr="00922DFA">
              <w:rPr>
                <w:rStyle w:val="ae"/>
                <w:rFonts w:ascii="Times New Roman" w:hAnsi="Times New Roman" w:cs="Times New Roman"/>
                <w:noProof/>
                <w:sz w:val="26"/>
                <w:szCs w:val="26"/>
              </w:rPr>
              <w:t>Налоговая нагрузка в экономике</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_Toc431474321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29</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22" w:history="1">
            <w:r w:rsidR="00922DFA" w:rsidRPr="00922DFA">
              <w:rPr>
                <w:rStyle w:val="ae"/>
                <w:rFonts w:ascii="Times New Roman" w:hAnsi="Times New Roman" w:cs="Times New Roman"/>
                <w:noProof/>
                <w:sz w:val="26"/>
                <w:szCs w:val="26"/>
              </w:rPr>
              <w:t>Международная практика налогообложения нефтяного сектора</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_Toc431474322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34</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23" w:history="1">
            <w:r w:rsidR="00922DFA" w:rsidRPr="00922DFA">
              <w:rPr>
                <w:rStyle w:val="ae"/>
                <w:rFonts w:ascii="Times New Roman" w:hAnsi="Times New Roman" w:cs="Times New Roman"/>
                <w:noProof/>
                <w:sz w:val="26"/>
                <w:szCs w:val="26"/>
              </w:rPr>
              <w:t>Российская практика: налоговый маневр</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_Toc431474323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47</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24" w:history="1">
            <w:r w:rsidR="00922DFA" w:rsidRPr="00922DFA">
              <w:rPr>
                <w:rStyle w:val="ae"/>
                <w:rFonts w:ascii="Times New Roman" w:hAnsi="Times New Roman" w:cs="Times New Roman"/>
                <w:noProof/>
                <w:sz w:val="26"/>
                <w:szCs w:val="26"/>
              </w:rPr>
              <w:t>Российская практика: перераспределение налоговой нагрузки</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_Toc431474324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53</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25" w:history="1">
            <w:r w:rsidR="00922DFA" w:rsidRPr="00922DFA">
              <w:rPr>
                <w:rStyle w:val="ae"/>
                <w:rFonts w:ascii="Times New Roman" w:hAnsi="Times New Roman" w:cs="Times New Roman"/>
                <w:noProof/>
                <w:sz w:val="26"/>
                <w:szCs w:val="26"/>
              </w:rPr>
              <w:t>Альтернативное использование налоговых ресурсов в отрасли</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_Toc431474325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54</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26" w:history="1">
            <w:r w:rsidR="00922DFA" w:rsidRPr="00922DFA">
              <w:rPr>
                <w:rStyle w:val="ae"/>
                <w:rFonts w:ascii="Times New Roman" w:hAnsi="Times New Roman" w:cs="Times New Roman"/>
                <w:noProof/>
                <w:sz w:val="26"/>
                <w:szCs w:val="26"/>
              </w:rPr>
              <w:t>Негативные вызовы, связанные с изменениями на мировых рынках  нефти и газа</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_Toc431474326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58</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27" w:history="1">
            <w:r w:rsidR="00922DFA" w:rsidRPr="00922DFA">
              <w:rPr>
                <w:rStyle w:val="ae"/>
                <w:rFonts w:ascii="Times New Roman" w:hAnsi="Times New Roman" w:cs="Times New Roman"/>
                <w:i/>
                <w:noProof/>
                <w:sz w:val="26"/>
                <w:szCs w:val="26"/>
              </w:rPr>
              <w:t>Ценообразование и проблемы прогнозирования</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_Toc431474327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58</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28" w:history="1">
            <w:r w:rsidR="00922DFA" w:rsidRPr="00922DFA">
              <w:rPr>
                <w:rStyle w:val="ae"/>
                <w:rFonts w:ascii="Times New Roman" w:hAnsi="Times New Roman" w:cs="Times New Roman"/>
                <w:noProof/>
                <w:sz w:val="26"/>
                <w:szCs w:val="26"/>
              </w:rPr>
              <w:t>Текущий этап эволюции ценообразования на газ на международных рынках</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_Toc431474328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60</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29" w:history="1">
            <w:r w:rsidR="00922DFA" w:rsidRPr="00922DFA">
              <w:rPr>
                <w:rStyle w:val="ae"/>
                <w:rFonts w:ascii="Times New Roman" w:hAnsi="Times New Roman" w:cs="Times New Roman"/>
                <w:noProof/>
                <w:sz w:val="26"/>
                <w:szCs w:val="26"/>
              </w:rPr>
              <w:t>Проблемы прогнозирования мировых цен на нефть на международных рынках</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_Toc431474329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62</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30" w:history="1">
            <w:r w:rsidR="00922DFA" w:rsidRPr="00922DFA">
              <w:rPr>
                <w:rStyle w:val="ae"/>
                <w:rFonts w:ascii="Times New Roman" w:hAnsi="Times New Roman" w:cs="Times New Roman"/>
                <w:noProof/>
                <w:sz w:val="26"/>
                <w:szCs w:val="26"/>
              </w:rPr>
              <w:t>Новые поставщики</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_Toc431474330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64</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31" w:history="1">
            <w:r w:rsidR="00922DFA" w:rsidRPr="00922DFA">
              <w:rPr>
                <w:rStyle w:val="ae"/>
                <w:rFonts w:ascii="Times New Roman" w:hAnsi="Times New Roman" w:cs="Times New Roman"/>
                <w:noProof/>
                <w:sz w:val="26"/>
                <w:szCs w:val="26"/>
              </w:rPr>
              <w:t>Изменение структуры мирового предложения нефти по странам</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_Toc431474331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64</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32" w:history="1">
            <w:r w:rsidR="00922DFA" w:rsidRPr="00922DFA">
              <w:rPr>
                <w:rStyle w:val="ae"/>
                <w:rFonts w:ascii="Times New Roman" w:hAnsi="Times New Roman" w:cs="Times New Roman"/>
                <w:noProof/>
                <w:sz w:val="26"/>
                <w:szCs w:val="26"/>
              </w:rPr>
              <w:t>Изменение структуры мирового предложения газа по странам</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_Toc431474332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66</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33" w:history="1">
            <w:r w:rsidR="00922DFA" w:rsidRPr="00922DFA">
              <w:rPr>
                <w:rStyle w:val="ae"/>
                <w:rFonts w:ascii="Times New Roman" w:hAnsi="Times New Roman" w:cs="Times New Roman"/>
                <w:noProof/>
                <w:sz w:val="26"/>
                <w:szCs w:val="26"/>
              </w:rPr>
              <w:t>Динамика экспортоориентированных проектов</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_Toc431474333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68</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34" w:history="1">
            <w:r w:rsidR="00922DFA" w:rsidRPr="00922DFA">
              <w:rPr>
                <w:rStyle w:val="ae"/>
                <w:rFonts w:ascii="Times New Roman" w:hAnsi="Times New Roman" w:cs="Times New Roman"/>
                <w:i/>
                <w:noProof/>
                <w:sz w:val="26"/>
                <w:szCs w:val="26"/>
              </w:rPr>
              <w:t>Соотношение прироста мировой добычи нефти к приросту мирового экспорта нефти</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_Toc431474334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68</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35" w:history="1">
            <w:r w:rsidR="00922DFA" w:rsidRPr="00922DFA">
              <w:rPr>
                <w:rStyle w:val="ae"/>
                <w:rFonts w:ascii="Times New Roman" w:hAnsi="Times New Roman" w:cs="Times New Roman"/>
                <w:i/>
                <w:noProof/>
                <w:sz w:val="26"/>
                <w:szCs w:val="26"/>
              </w:rPr>
              <w:t>Соотношение прироста мировой добычи газа к приросту мирового экспорта газа</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_Toc431474335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68</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36" w:history="1">
            <w:r w:rsidR="00922DFA" w:rsidRPr="00922DFA">
              <w:rPr>
                <w:rStyle w:val="ae"/>
                <w:rFonts w:ascii="Times New Roman" w:hAnsi="Times New Roman" w:cs="Times New Roman"/>
                <w:noProof/>
                <w:sz w:val="26"/>
                <w:szCs w:val="26"/>
              </w:rPr>
              <w:t>Динамика мировых капитальных вложений в добычу нефти и газа</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_Toc431474336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68</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37" w:history="1">
            <w:r w:rsidR="00922DFA" w:rsidRPr="00922DFA">
              <w:rPr>
                <w:rStyle w:val="ae"/>
                <w:rFonts w:ascii="Times New Roman" w:hAnsi="Times New Roman" w:cs="Times New Roman"/>
                <w:noProof/>
                <w:sz w:val="26"/>
                <w:szCs w:val="26"/>
              </w:rPr>
              <w:t>Избыточное предложение и сокращение потребности в энергоресурсах</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_Toc431474337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69</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38" w:history="1">
            <w:r w:rsidR="00922DFA" w:rsidRPr="00922DFA">
              <w:rPr>
                <w:rStyle w:val="ae"/>
                <w:rFonts w:ascii="Times New Roman" w:hAnsi="Times New Roman" w:cs="Times New Roman"/>
                <w:i/>
                <w:noProof/>
                <w:sz w:val="26"/>
                <w:szCs w:val="26"/>
              </w:rPr>
              <w:t>Текущие изменения, происходящие в динамике мирового спроса на нефть</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_Toc431474338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69</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39" w:history="1">
            <w:r w:rsidR="00922DFA" w:rsidRPr="00922DFA">
              <w:rPr>
                <w:rStyle w:val="ae"/>
                <w:rFonts w:ascii="Times New Roman" w:hAnsi="Times New Roman" w:cs="Times New Roman"/>
                <w:i/>
                <w:noProof/>
                <w:sz w:val="26"/>
                <w:szCs w:val="26"/>
              </w:rPr>
              <w:t>Текущие изменения, происходящие в динамике мирового спроса на газ</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_Toc431474339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71</w:t>
            </w:r>
            <w:r w:rsidR="00922DFA" w:rsidRPr="00922DFA">
              <w:rPr>
                <w:rFonts w:ascii="Times New Roman" w:hAnsi="Times New Roman" w:cs="Times New Roman"/>
                <w:noProof/>
                <w:webHidden/>
                <w:sz w:val="26"/>
                <w:szCs w:val="26"/>
              </w:rPr>
              <w:fldChar w:fldCharType="end"/>
            </w:r>
          </w:hyperlink>
        </w:p>
        <w:p w:rsidR="00922DFA" w:rsidRPr="00922DFA" w:rsidRDefault="0004583E" w:rsidP="00922DFA">
          <w:pPr>
            <w:pStyle w:val="11"/>
            <w:tabs>
              <w:tab w:val="right" w:leader="dot" w:pos="9628"/>
            </w:tabs>
            <w:jc w:val="both"/>
            <w:rPr>
              <w:rFonts w:ascii="Times New Roman" w:eastAsiaTheme="minorEastAsia" w:hAnsi="Times New Roman" w:cs="Times New Roman"/>
              <w:noProof/>
              <w:sz w:val="26"/>
              <w:szCs w:val="26"/>
              <w:lang w:eastAsia="ru-RU"/>
            </w:rPr>
          </w:pPr>
          <w:hyperlink w:anchor="_Toc431474340" w:history="1">
            <w:r w:rsidR="00922DFA" w:rsidRPr="00922DFA">
              <w:rPr>
                <w:rStyle w:val="ae"/>
                <w:rFonts w:ascii="Times New Roman" w:hAnsi="Times New Roman" w:cs="Times New Roman"/>
                <w:i/>
                <w:noProof/>
                <w:sz w:val="26"/>
                <w:szCs w:val="26"/>
              </w:rPr>
              <w:t>Текущее состояние и перспективы превышения мирового предложения нефти и газа над спросом</w:t>
            </w:r>
            <w:r w:rsidR="00922DFA" w:rsidRPr="00922DFA">
              <w:rPr>
                <w:rFonts w:ascii="Times New Roman" w:hAnsi="Times New Roman" w:cs="Times New Roman"/>
                <w:noProof/>
                <w:webHidden/>
                <w:sz w:val="26"/>
                <w:szCs w:val="26"/>
              </w:rPr>
              <w:tab/>
            </w:r>
            <w:r w:rsidR="00922DFA" w:rsidRPr="00922DFA">
              <w:rPr>
                <w:rFonts w:ascii="Times New Roman" w:hAnsi="Times New Roman" w:cs="Times New Roman"/>
                <w:noProof/>
                <w:webHidden/>
                <w:sz w:val="26"/>
                <w:szCs w:val="26"/>
              </w:rPr>
              <w:fldChar w:fldCharType="begin"/>
            </w:r>
            <w:r w:rsidR="00922DFA" w:rsidRPr="00922DFA">
              <w:rPr>
                <w:rFonts w:ascii="Times New Roman" w:hAnsi="Times New Roman" w:cs="Times New Roman"/>
                <w:noProof/>
                <w:webHidden/>
                <w:sz w:val="26"/>
                <w:szCs w:val="26"/>
              </w:rPr>
              <w:instrText xml:space="preserve"> PAGEREF _Toc431474340 \h </w:instrText>
            </w:r>
            <w:r w:rsidR="00922DFA" w:rsidRPr="00922DFA">
              <w:rPr>
                <w:rFonts w:ascii="Times New Roman" w:hAnsi="Times New Roman" w:cs="Times New Roman"/>
                <w:noProof/>
                <w:webHidden/>
                <w:sz w:val="26"/>
                <w:szCs w:val="26"/>
              </w:rPr>
            </w:r>
            <w:r w:rsidR="00922DFA" w:rsidRPr="00922DFA">
              <w:rPr>
                <w:rFonts w:ascii="Times New Roman" w:hAnsi="Times New Roman" w:cs="Times New Roman"/>
                <w:noProof/>
                <w:webHidden/>
                <w:sz w:val="26"/>
                <w:szCs w:val="26"/>
              </w:rPr>
              <w:fldChar w:fldCharType="separate"/>
            </w:r>
            <w:r w:rsidR="001A1C28">
              <w:rPr>
                <w:rFonts w:ascii="Times New Roman" w:hAnsi="Times New Roman" w:cs="Times New Roman"/>
                <w:noProof/>
                <w:webHidden/>
                <w:sz w:val="26"/>
                <w:szCs w:val="26"/>
              </w:rPr>
              <w:t>72</w:t>
            </w:r>
            <w:r w:rsidR="00922DFA" w:rsidRPr="00922DFA">
              <w:rPr>
                <w:rFonts w:ascii="Times New Roman" w:hAnsi="Times New Roman" w:cs="Times New Roman"/>
                <w:noProof/>
                <w:webHidden/>
                <w:sz w:val="26"/>
                <w:szCs w:val="26"/>
              </w:rPr>
              <w:fldChar w:fldCharType="end"/>
            </w:r>
          </w:hyperlink>
        </w:p>
        <w:p w:rsidR="007C67F6" w:rsidRDefault="007C67F6" w:rsidP="00922DFA">
          <w:pPr>
            <w:jc w:val="both"/>
          </w:pPr>
          <w:r w:rsidRPr="00922DFA">
            <w:rPr>
              <w:rFonts w:ascii="Times New Roman" w:hAnsi="Times New Roman" w:cs="Times New Roman"/>
              <w:b/>
              <w:bCs/>
              <w:sz w:val="26"/>
              <w:szCs w:val="26"/>
            </w:rPr>
            <w:fldChar w:fldCharType="end"/>
          </w:r>
        </w:p>
      </w:sdtContent>
    </w:sdt>
    <w:p w:rsidR="000F4260" w:rsidRDefault="000F4260" w:rsidP="00CE5135">
      <w:pPr>
        <w:spacing w:after="120" w:line="240" w:lineRule="auto"/>
        <w:ind w:firstLine="709"/>
        <w:jc w:val="both"/>
        <w:rPr>
          <w:rFonts w:ascii="Times New Roman" w:hAnsi="Times New Roman" w:cs="Times New Roman"/>
          <w:bCs/>
          <w:sz w:val="26"/>
          <w:szCs w:val="26"/>
        </w:rPr>
      </w:pPr>
    </w:p>
    <w:p w:rsidR="007C67F6" w:rsidRDefault="007C67F6" w:rsidP="00CE5135">
      <w:pPr>
        <w:spacing w:after="120" w:line="240" w:lineRule="auto"/>
        <w:ind w:firstLine="709"/>
        <w:jc w:val="both"/>
        <w:rPr>
          <w:rFonts w:ascii="Times New Roman" w:hAnsi="Times New Roman" w:cs="Times New Roman"/>
          <w:bCs/>
          <w:sz w:val="26"/>
          <w:szCs w:val="26"/>
        </w:rPr>
      </w:pPr>
    </w:p>
    <w:p w:rsidR="007C67F6" w:rsidRDefault="007C67F6" w:rsidP="00CE5135">
      <w:pPr>
        <w:spacing w:after="120" w:line="240" w:lineRule="auto"/>
        <w:ind w:firstLine="709"/>
        <w:jc w:val="both"/>
        <w:rPr>
          <w:rFonts w:ascii="Times New Roman" w:hAnsi="Times New Roman" w:cs="Times New Roman"/>
          <w:bCs/>
          <w:sz w:val="26"/>
          <w:szCs w:val="26"/>
        </w:rPr>
      </w:pPr>
    </w:p>
    <w:p w:rsidR="007C67F6" w:rsidRDefault="007C67F6" w:rsidP="00CE5135">
      <w:pPr>
        <w:spacing w:after="120" w:line="240" w:lineRule="auto"/>
        <w:ind w:firstLine="709"/>
        <w:jc w:val="both"/>
        <w:rPr>
          <w:rFonts w:ascii="Times New Roman" w:hAnsi="Times New Roman" w:cs="Times New Roman"/>
          <w:bCs/>
          <w:sz w:val="26"/>
          <w:szCs w:val="26"/>
        </w:rPr>
      </w:pPr>
    </w:p>
    <w:p w:rsidR="007C67F6" w:rsidRDefault="007C67F6" w:rsidP="00CE5135">
      <w:pPr>
        <w:spacing w:after="120" w:line="240" w:lineRule="auto"/>
        <w:ind w:firstLine="709"/>
        <w:jc w:val="both"/>
        <w:rPr>
          <w:rFonts w:ascii="Times New Roman" w:hAnsi="Times New Roman" w:cs="Times New Roman"/>
          <w:bCs/>
          <w:sz w:val="26"/>
          <w:szCs w:val="26"/>
        </w:rPr>
      </w:pPr>
    </w:p>
    <w:p w:rsidR="007C67F6" w:rsidRDefault="007C67F6" w:rsidP="00CE5135">
      <w:pPr>
        <w:spacing w:after="120" w:line="240" w:lineRule="auto"/>
        <w:ind w:firstLine="709"/>
        <w:jc w:val="both"/>
        <w:rPr>
          <w:rFonts w:ascii="Times New Roman" w:hAnsi="Times New Roman" w:cs="Times New Roman"/>
          <w:bCs/>
          <w:sz w:val="26"/>
          <w:szCs w:val="26"/>
        </w:rPr>
      </w:pPr>
    </w:p>
    <w:p w:rsidR="007C67F6" w:rsidRDefault="007C67F6" w:rsidP="00CE5135">
      <w:pPr>
        <w:spacing w:after="120" w:line="240" w:lineRule="auto"/>
        <w:ind w:firstLine="709"/>
        <w:jc w:val="both"/>
        <w:rPr>
          <w:rFonts w:ascii="Times New Roman" w:hAnsi="Times New Roman" w:cs="Times New Roman"/>
          <w:bCs/>
          <w:sz w:val="26"/>
          <w:szCs w:val="26"/>
        </w:rPr>
      </w:pPr>
    </w:p>
    <w:p w:rsidR="007C67F6" w:rsidRDefault="007C67F6" w:rsidP="00CE5135">
      <w:pPr>
        <w:spacing w:after="120" w:line="240" w:lineRule="auto"/>
        <w:ind w:firstLine="709"/>
        <w:jc w:val="both"/>
        <w:rPr>
          <w:rFonts w:ascii="Times New Roman" w:hAnsi="Times New Roman" w:cs="Times New Roman"/>
          <w:bCs/>
          <w:sz w:val="26"/>
          <w:szCs w:val="26"/>
        </w:rPr>
      </w:pPr>
    </w:p>
    <w:p w:rsidR="007C67F6" w:rsidRDefault="007C67F6" w:rsidP="00CE5135">
      <w:pPr>
        <w:spacing w:after="120" w:line="240" w:lineRule="auto"/>
        <w:ind w:firstLine="709"/>
        <w:jc w:val="both"/>
        <w:rPr>
          <w:rFonts w:ascii="Times New Roman" w:hAnsi="Times New Roman" w:cs="Times New Roman"/>
          <w:bCs/>
          <w:sz w:val="26"/>
          <w:szCs w:val="26"/>
        </w:rPr>
      </w:pPr>
    </w:p>
    <w:p w:rsidR="007C67F6" w:rsidRDefault="007C67F6" w:rsidP="00CE5135">
      <w:pPr>
        <w:spacing w:after="120" w:line="240" w:lineRule="auto"/>
        <w:ind w:firstLine="709"/>
        <w:jc w:val="both"/>
        <w:rPr>
          <w:rFonts w:ascii="Times New Roman" w:hAnsi="Times New Roman" w:cs="Times New Roman"/>
          <w:bCs/>
          <w:sz w:val="26"/>
          <w:szCs w:val="26"/>
        </w:rPr>
      </w:pPr>
    </w:p>
    <w:p w:rsidR="007C67F6" w:rsidRDefault="007C67F6" w:rsidP="00CE5135">
      <w:pPr>
        <w:spacing w:after="120" w:line="240" w:lineRule="auto"/>
        <w:ind w:firstLine="709"/>
        <w:jc w:val="both"/>
        <w:rPr>
          <w:rFonts w:ascii="Times New Roman" w:hAnsi="Times New Roman" w:cs="Times New Roman"/>
          <w:bCs/>
          <w:sz w:val="26"/>
          <w:szCs w:val="26"/>
        </w:rPr>
      </w:pPr>
    </w:p>
    <w:p w:rsidR="007C67F6" w:rsidRDefault="007C67F6" w:rsidP="00CE5135">
      <w:pPr>
        <w:spacing w:after="120" w:line="240" w:lineRule="auto"/>
        <w:ind w:firstLine="709"/>
        <w:jc w:val="both"/>
        <w:rPr>
          <w:rFonts w:ascii="Times New Roman" w:hAnsi="Times New Roman" w:cs="Times New Roman"/>
          <w:bCs/>
          <w:sz w:val="26"/>
          <w:szCs w:val="26"/>
        </w:rPr>
      </w:pPr>
    </w:p>
    <w:p w:rsidR="007C67F6" w:rsidRDefault="007C67F6" w:rsidP="00CE5135">
      <w:pPr>
        <w:spacing w:after="120" w:line="240" w:lineRule="auto"/>
        <w:ind w:firstLine="709"/>
        <w:jc w:val="both"/>
        <w:rPr>
          <w:rFonts w:ascii="Times New Roman" w:hAnsi="Times New Roman" w:cs="Times New Roman"/>
          <w:bCs/>
          <w:sz w:val="26"/>
          <w:szCs w:val="26"/>
        </w:rPr>
      </w:pPr>
    </w:p>
    <w:p w:rsidR="007C67F6" w:rsidRDefault="007C67F6" w:rsidP="00CE5135">
      <w:pPr>
        <w:spacing w:after="120" w:line="240" w:lineRule="auto"/>
        <w:ind w:firstLine="709"/>
        <w:jc w:val="both"/>
        <w:rPr>
          <w:rFonts w:ascii="Times New Roman" w:hAnsi="Times New Roman" w:cs="Times New Roman"/>
          <w:bCs/>
          <w:sz w:val="26"/>
          <w:szCs w:val="26"/>
        </w:rPr>
      </w:pPr>
    </w:p>
    <w:p w:rsidR="007C67F6" w:rsidRDefault="007C67F6" w:rsidP="00CE5135">
      <w:pPr>
        <w:spacing w:after="120" w:line="240" w:lineRule="auto"/>
        <w:ind w:firstLine="709"/>
        <w:jc w:val="both"/>
        <w:rPr>
          <w:rFonts w:ascii="Times New Roman" w:hAnsi="Times New Roman" w:cs="Times New Roman"/>
          <w:bCs/>
          <w:sz w:val="26"/>
          <w:szCs w:val="26"/>
        </w:rPr>
      </w:pPr>
    </w:p>
    <w:p w:rsidR="007C67F6" w:rsidRDefault="007C67F6" w:rsidP="00CE5135">
      <w:pPr>
        <w:spacing w:after="120" w:line="240" w:lineRule="auto"/>
        <w:ind w:firstLine="709"/>
        <w:jc w:val="both"/>
        <w:rPr>
          <w:rFonts w:ascii="Times New Roman" w:hAnsi="Times New Roman" w:cs="Times New Roman"/>
          <w:bCs/>
          <w:sz w:val="26"/>
          <w:szCs w:val="26"/>
        </w:rPr>
      </w:pPr>
    </w:p>
    <w:p w:rsidR="007C67F6" w:rsidRDefault="007C67F6" w:rsidP="00CE5135">
      <w:pPr>
        <w:spacing w:after="120" w:line="240" w:lineRule="auto"/>
        <w:ind w:firstLine="709"/>
        <w:jc w:val="both"/>
        <w:rPr>
          <w:rFonts w:ascii="Times New Roman" w:hAnsi="Times New Roman" w:cs="Times New Roman"/>
          <w:bCs/>
          <w:sz w:val="26"/>
          <w:szCs w:val="26"/>
        </w:rPr>
      </w:pPr>
    </w:p>
    <w:p w:rsidR="007C67F6" w:rsidRDefault="007C67F6" w:rsidP="00CE5135">
      <w:pPr>
        <w:spacing w:after="120" w:line="240" w:lineRule="auto"/>
        <w:ind w:firstLine="709"/>
        <w:jc w:val="both"/>
        <w:rPr>
          <w:rFonts w:ascii="Times New Roman" w:hAnsi="Times New Roman" w:cs="Times New Roman"/>
          <w:bCs/>
          <w:sz w:val="26"/>
          <w:szCs w:val="26"/>
        </w:rPr>
      </w:pPr>
    </w:p>
    <w:p w:rsidR="007C67F6" w:rsidRDefault="007C67F6" w:rsidP="00CE5135">
      <w:pPr>
        <w:spacing w:after="120" w:line="240" w:lineRule="auto"/>
        <w:ind w:firstLine="709"/>
        <w:jc w:val="both"/>
        <w:rPr>
          <w:rFonts w:ascii="Times New Roman" w:hAnsi="Times New Roman" w:cs="Times New Roman"/>
          <w:bCs/>
          <w:sz w:val="26"/>
          <w:szCs w:val="26"/>
        </w:rPr>
      </w:pPr>
    </w:p>
    <w:p w:rsidR="007C67F6" w:rsidRDefault="007C67F6" w:rsidP="00CE5135">
      <w:pPr>
        <w:spacing w:after="120" w:line="240" w:lineRule="auto"/>
        <w:ind w:firstLine="709"/>
        <w:jc w:val="both"/>
        <w:rPr>
          <w:rFonts w:ascii="Times New Roman" w:hAnsi="Times New Roman" w:cs="Times New Roman"/>
          <w:bCs/>
          <w:sz w:val="26"/>
          <w:szCs w:val="26"/>
        </w:rPr>
      </w:pPr>
    </w:p>
    <w:p w:rsidR="007C67F6" w:rsidRDefault="007C67F6" w:rsidP="00CE5135">
      <w:pPr>
        <w:spacing w:after="120" w:line="240" w:lineRule="auto"/>
        <w:ind w:firstLine="709"/>
        <w:jc w:val="both"/>
        <w:rPr>
          <w:rFonts w:ascii="Times New Roman" w:hAnsi="Times New Roman" w:cs="Times New Roman"/>
          <w:bCs/>
          <w:sz w:val="26"/>
          <w:szCs w:val="26"/>
        </w:rPr>
      </w:pPr>
    </w:p>
    <w:p w:rsidR="007C67F6" w:rsidRDefault="007C67F6" w:rsidP="00CE5135">
      <w:pPr>
        <w:spacing w:after="120" w:line="240" w:lineRule="auto"/>
        <w:ind w:firstLine="709"/>
        <w:jc w:val="both"/>
        <w:rPr>
          <w:rFonts w:ascii="Times New Roman" w:hAnsi="Times New Roman" w:cs="Times New Roman"/>
          <w:bCs/>
          <w:sz w:val="26"/>
          <w:szCs w:val="26"/>
        </w:rPr>
      </w:pPr>
    </w:p>
    <w:p w:rsidR="007C67F6" w:rsidRDefault="007C67F6" w:rsidP="00CE5135">
      <w:pPr>
        <w:spacing w:after="120" w:line="240" w:lineRule="auto"/>
        <w:ind w:firstLine="709"/>
        <w:jc w:val="both"/>
        <w:rPr>
          <w:rFonts w:ascii="Times New Roman" w:hAnsi="Times New Roman" w:cs="Times New Roman"/>
          <w:bCs/>
          <w:sz w:val="26"/>
          <w:szCs w:val="26"/>
        </w:rPr>
      </w:pPr>
    </w:p>
    <w:p w:rsidR="007C67F6" w:rsidRDefault="007C67F6" w:rsidP="00CE5135">
      <w:pPr>
        <w:spacing w:after="120" w:line="240" w:lineRule="auto"/>
        <w:ind w:firstLine="709"/>
        <w:jc w:val="both"/>
        <w:rPr>
          <w:rFonts w:ascii="Times New Roman" w:hAnsi="Times New Roman" w:cs="Times New Roman"/>
          <w:bCs/>
          <w:sz w:val="26"/>
          <w:szCs w:val="26"/>
        </w:rPr>
      </w:pPr>
    </w:p>
    <w:p w:rsidR="00922DFA" w:rsidRPr="00C57773" w:rsidRDefault="007828CD" w:rsidP="00922DFA">
      <w:pPr>
        <w:pStyle w:val="1"/>
        <w:rPr>
          <w:rFonts w:ascii="Times New Roman" w:hAnsi="Times New Roman" w:cs="Times New Roman"/>
          <w:color w:val="1F497D" w:themeColor="text2"/>
        </w:rPr>
      </w:pPr>
      <w:bookmarkStart w:id="0" w:name="_Toc431474216"/>
      <w:r w:rsidRPr="00922DFA">
        <w:rPr>
          <w:rFonts w:ascii="Times New Roman" w:hAnsi="Times New Roman" w:cs="Times New Roman"/>
          <w:color w:val="1F497D" w:themeColor="text2"/>
        </w:rPr>
        <w:lastRenderedPageBreak/>
        <w:t>Введение</w:t>
      </w:r>
      <w:bookmarkEnd w:id="0"/>
    </w:p>
    <w:p w:rsidR="00922DFA" w:rsidRPr="00C57773" w:rsidRDefault="00922DFA" w:rsidP="00922DFA">
      <w:bookmarkStart w:id="1" w:name="_GoBack"/>
      <w:bookmarkEnd w:id="1"/>
    </w:p>
    <w:p w:rsidR="00A44E5D" w:rsidRPr="00CE5135" w:rsidRDefault="00A44E5D" w:rsidP="00CE5135">
      <w:pPr>
        <w:spacing w:after="120" w:line="240" w:lineRule="auto"/>
        <w:ind w:firstLine="709"/>
        <w:jc w:val="both"/>
        <w:rPr>
          <w:rFonts w:ascii="Times New Roman" w:hAnsi="Times New Roman" w:cs="Times New Roman"/>
          <w:bCs/>
          <w:sz w:val="26"/>
          <w:szCs w:val="26"/>
        </w:rPr>
      </w:pPr>
      <w:r w:rsidRPr="00CE5135">
        <w:rPr>
          <w:rFonts w:ascii="Times New Roman" w:hAnsi="Times New Roman" w:cs="Times New Roman"/>
          <w:bCs/>
          <w:sz w:val="26"/>
          <w:szCs w:val="26"/>
        </w:rPr>
        <w:t>Экономическая турбулентность стала непременной спутницей разработки и принятия Энергетических стратегий России. Так было в 2008-2009 годах, так случилось в 2014-2015 годах, такую ситуацию осторожно ждут в 2020-2021 годах. Множество противоречивых политико-экономических прогнозов создают ментальную панику на том уровне мышления, на котором разработка стратегии в принципе может оказаться бесполезным занятием.</w:t>
      </w:r>
    </w:p>
    <w:p w:rsidR="00A44E5D" w:rsidRPr="00CE5135" w:rsidRDefault="00A44E5D" w:rsidP="00CE5135">
      <w:pPr>
        <w:spacing w:after="120" w:line="240" w:lineRule="auto"/>
        <w:ind w:firstLine="709"/>
        <w:jc w:val="both"/>
        <w:rPr>
          <w:rFonts w:ascii="Times New Roman" w:hAnsi="Times New Roman" w:cs="Times New Roman"/>
          <w:bCs/>
          <w:sz w:val="26"/>
          <w:szCs w:val="26"/>
        </w:rPr>
      </w:pPr>
      <w:r w:rsidRPr="00CE5135">
        <w:rPr>
          <w:rFonts w:ascii="Times New Roman" w:hAnsi="Times New Roman" w:cs="Times New Roman"/>
          <w:bCs/>
          <w:sz w:val="26"/>
          <w:szCs w:val="26"/>
        </w:rPr>
        <w:t>ТЭК России вносит значительный вклад в социально-экономическое развитие страны. Доля ТЭК в инвестициях в основной капитал и в структуре доходов федерального бюджета составляет около одной трети, а в российском экспорте (в стоимостном выражении) – около 70 процентов. Вклад ТЭК в В</w:t>
      </w:r>
      <w:proofErr w:type="gramStart"/>
      <w:r w:rsidRPr="00CE5135">
        <w:rPr>
          <w:rFonts w:ascii="Times New Roman" w:hAnsi="Times New Roman" w:cs="Times New Roman"/>
          <w:bCs/>
          <w:sz w:val="26"/>
          <w:szCs w:val="26"/>
        </w:rPr>
        <w:t>ВП стр</w:t>
      </w:r>
      <w:proofErr w:type="gramEnd"/>
      <w:r w:rsidRPr="00CE5135">
        <w:rPr>
          <w:rFonts w:ascii="Times New Roman" w:hAnsi="Times New Roman" w:cs="Times New Roman"/>
          <w:bCs/>
          <w:sz w:val="26"/>
          <w:szCs w:val="26"/>
        </w:rPr>
        <w:t>аны составляет 25–26 процентов при доле занятых в ТЭК в 3,7 процента от общей численности занятого в экономике населения. Россия экспортирует почти половину производимой первичной энергии.</w:t>
      </w:r>
    </w:p>
    <w:p w:rsidR="00A44E5D" w:rsidRPr="00CE5135" w:rsidRDefault="00A44E5D" w:rsidP="00CE5135">
      <w:pPr>
        <w:spacing w:after="120" w:line="240" w:lineRule="auto"/>
        <w:ind w:firstLine="709"/>
        <w:jc w:val="both"/>
        <w:rPr>
          <w:rFonts w:ascii="Times New Roman" w:hAnsi="Times New Roman" w:cs="Times New Roman"/>
          <w:bCs/>
          <w:sz w:val="26"/>
          <w:szCs w:val="26"/>
        </w:rPr>
      </w:pPr>
      <w:r w:rsidRPr="00CE5135">
        <w:rPr>
          <w:rFonts w:ascii="Times New Roman" w:hAnsi="Times New Roman" w:cs="Times New Roman"/>
          <w:bCs/>
          <w:sz w:val="26"/>
          <w:szCs w:val="26"/>
        </w:rPr>
        <w:t>Список вызовов, стоящих перед российским энергетическим сектором, составлен давно. С годами меняется их масштаб и приоритетность, но адекватные ответы по-прежнему подбираются с трудом. И находить их становится все сложнее. Слишком велико значение энергетического сектора для экономики России и слишком малым видится поле для маневров. Имеющиеся проблемы зачастую не поддаются даже однозначной интерпретации, не говоря уже о нахождении компромиссов и наилучших ответов.</w:t>
      </w:r>
    </w:p>
    <w:p w:rsidR="00A44E5D" w:rsidRPr="00CE5135" w:rsidRDefault="00A44E5D" w:rsidP="00CE5135">
      <w:pPr>
        <w:spacing w:after="120" w:line="240" w:lineRule="auto"/>
        <w:ind w:firstLine="709"/>
        <w:jc w:val="both"/>
        <w:rPr>
          <w:rFonts w:ascii="Times New Roman" w:hAnsi="Times New Roman" w:cs="Times New Roman"/>
          <w:bCs/>
          <w:sz w:val="26"/>
          <w:szCs w:val="26"/>
        </w:rPr>
      </w:pPr>
      <w:r w:rsidRPr="00CE5135">
        <w:rPr>
          <w:rFonts w:ascii="Times New Roman" w:hAnsi="Times New Roman" w:cs="Times New Roman"/>
          <w:bCs/>
          <w:sz w:val="26"/>
          <w:szCs w:val="26"/>
        </w:rPr>
        <w:t>Государственные решения приобретают точечный характер и больше преследуют тактические, конъюнктурные цели, нежели стратегические. Да и сами стратегические цели при их все-таки наличии весьма часто упускаются из виду, оставаясь декларативными тезисами, имеющими мало общего с реальной государственной политикой.</w:t>
      </w:r>
    </w:p>
    <w:p w:rsidR="00A44E5D" w:rsidRPr="00CE5135" w:rsidRDefault="00A44E5D" w:rsidP="00CE5135">
      <w:pPr>
        <w:spacing w:after="120" w:line="240" w:lineRule="auto"/>
        <w:ind w:firstLine="709"/>
        <w:jc w:val="both"/>
        <w:rPr>
          <w:rFonts w:ascii="Times New Roman" w:hAnsi="Times New Roman" w:cs="Times New Roman"/>
          <w:bCs/>
          <w:sz w:val="26"/>
          <w:szCs w:val="26"/>
        </w:rPr>
      </w:pPr>
      <w:r w:rsidRPr="00CE5135">
        <w:rPr>
          <w:rFonts w:ascii="Times New Roman" w:hAnsi="Times New Roman" w:cs="Times New Roman"/>
          <w:bCs/>
          <w:sz w:val="26"/>
          <w:szCs w:val="26"/>
        </w:rPr>
        <w:t>Россия является безусловным мировым лидером по совокупности своих энергетических ресурсов. Но быть лидером – это не только почетно, но и ответственно. Ответственно, в первую очередь, перед гражданами страны, которые делегировали право распоряжения природными ресурсами государству, и перед бизнесом, который государство на оговоренных условиях привлекает для производства энергоресурсов в сырьевой экономике.</w:t>
      </w:r>
    </w:p>
    <w:p w:rsidR="00A44E5D" w:rsidRPr="00CE5135" w:rsidRDefault="00A44E5D" w:rsidP="00CE5135">
      <w:pPr>
        <w:spacing w:after="120" w:line="240" w:lineRule="auto"/>
        <w:ind w:firstLine="709"/>
        <w:jc w:val="both"/>
        <w:rPr>
          <w:rFonts w:ascii="Times New Roman" w:hAnsi="Times New Roman" w:cs="Times New Roman"/>
          <w:bCs/>
          <w:sz w:val="26"/>
          <w:szCs w:val="26"/>
        </w:rPr>
      </w:pPr>
      <w:r w:rsidRPr="00CE5135">
        <w:rPr>
          <w:rFonts w:ascii="Times New Roman" w:hAnsi="Times New Roman" w:cs="Times New Roman"/>
          <w:bCs/>
          <w:sz w:val="26"/>
          <w:szCs w:val="26"/>
        </w:rPr>
        <w:t>Получается, что государство постоянно находится перед необходимостью решения противоречивых задач – с одной стороны, как поощрять бизнес без ущерба для общественных интересов и, с другой стороны, как добиться более эффективного с позиций общества ведения бизнеса, не ухудшая условий его ведения. А это не может не порождать некий конфликт, пусть даже скрытый и неявный, ряд перекосов, пусть даже под благовидным предлогом, например, «обеспечения обороны страны и безопасности государства».</w:t>
      </w:r>
    </w:p>
    <w:p w:rsidR="00A44E5D" w:rsidRPr="00CE5135" w:rsidRDefault="00A44E5D" w:rsidP="00CE5135">
      <w:pPr>
        <w:spacing w:after="120" w:line="240" w:lineRule="auto"/>
        <w:ind w:firstLine="709"/>
        <w:jc w:val="both"/>
        <w:rPr>
          <w:rFonts w:ascii="Times New Roman" w:hAnsi="Times New Roman" w:cs="Times New Roman"/>
          <w:bCs/>
          <w:sz w:val="26"/>
          <w:szCs w:val="26"/>
        </w:rPr>
      </w:pPr>
      <w:r w:rsidRPr="00CE5135">
        <w:rPr>
          <w:rFonts w:ascii="Times New Roman" w:hAnsi="Times New Roman" w:cs="Times New Roman"/>
          <w:bCs/>
          <w:sz w:val="26"/>
          <w:szCs w:val="26"/>
        </w:rPr>
        <w:t>Но, в конечном счете, эти вопросы и ответы на них, выход на траекторию сотрудничества и доверия находятся в плоскости институциональной среды, складывающейся в энергетическом секторе страны, - насколько она сбалансирована и адекватна. Насколько она благоприятна для качественного развития.</w:t>
      </w:r>
    </w:p>
    <w:p w:rsidR="00A44E5D" w:rsidRPr="00CE5135" w:rsidRDefault="00A44E5D" w:rsidP="00CE5135">
      <w:pPr>
        <w:spacing w:after="120" w:line="240" w:lineRule="auto"/>
        <w:ind w:firstLine="709"/>
        <w:jc w:val="both"/>
        <w:rPr>
          <w:rFonts w:ascii="Times New Roman" w:hAnsi="Times New Roman" w:cs="Times New Roman"/>
          <w:bCs/>
          <w:sz w:val="26"/>
          <w:szCs w:val="26"/>
        </w:rPr>
      </w:pPr>
      <w:r w:rsidRPr="00CE5135">
        <w:rPr>
          <w:rFonts w:ascii="Times New Roman" w:hAnsi="Times New Roman" w:cs="Times New Roman"/>
          <w:bCs/>
          <w:sz w:val="26"/>
          <w:szCs w:val="26"/>
        </w:rPr>
        <w:lastRenderedPageBreak/>
        <w:t xml:space="preserve">Заявленный в сегодняшней государственной повестке вопрос с </w:t>
      </w:r>
      <w:proofErr w:type="spellStart"/>
      <w:r w:rsidRPr="00CE5135">
        <w:rPr>
          <w:rFonts w:ascii="Times New Roman" w:hAnsi="Times New Roman" w:cs="Times New Roman"/>
          <w:bCs/>
          <w:sz w:val="26"/>
          <w:szCs w:val="26"/>
        </w:rPr>
        <w:t>Энергостратегией</w:t>
      </w:r>
      <w:proofErr w:type="spellEnd"/>
      <w:r w:rsidRPr="00CE5135">
        <w:rPr>
          <w:rFonts w:ascii="Times New Roman" w:hAnsi="Times New Roman" w:cs="Times New Roman"/>
          <w:bCs/>
          <w:sz w:val="26"/>
          <w:szCs w:val="26"/>
        </w:rPr>
        <w:t xml:space="preserve"> России до 2035 года требует для начала ответов именно с точки зрения создания качественно новой модели развития энергетического сектора, лишенной институциональных дисбалансов и перекосов, а уж потом с точки зрения не поддающейся, как показала практика, прогнозированию цены на нефть.</w:t>
      </w:r>
    </w:p>
    <w:p w:rsidR="00A44E5D" w:rsidRPr="00CE5135" w:rsidRDefault="00A44E5D" w:rsidP="00CE5135">
      <w:pPr>
        <w:spacing w:after="120" w:line="240" w:lineRule="auto"/>
        <w:ind w:firstLine="709"/>
        <w:jc w:val="both"/>
        <w:rPr>
          <w:rFonts w:ascii="Times New Roman" w:hAnsi="Times New Roman" w:cs="Times New Roman"/>
          <w:bCs/>
          <w:sz w:val="26"/>
          <w:szCs w:val="26"/>
        </w:rPr>
      </w:pPr>
      <w:r w:rsidRPr="00CE5135">
        <w:rPr>
          <w:rFonts w:ascii="Times New Roman" w:hAnsi="Times New Roman" w:cs="Times New Roman"/>
          <w:bCs/>
          <w:sz w:val="26"/>
          <w:szCs w:val="26"/>
        </w:rPr>
        <w:t>Проект Энергетической стратегии России на период до 2035 года, подготовленный Министерством энергетики Российской Федерации, в целом отличается упорядоченной структурой, емкостью и концентрированностью положений, последовательностью и относительной ясностью изложения. В  документе нашли отражение отдельные мнения экспертной общественности, предложения компаний ТЭК, обозначена проблематика и возможные решения для перехода энергетического сектора страны на более высокий, качественно новый уровень.</w:t>
      </w:r>
    </w:p>
    <w:p w:rsidR="00A44E5D" w:rsidRPr="00CE5135" w:rsidRDefault="00A44E5D" w:rsidP="00CE5135">
      <w:pPr>
        <w:spacing w:after="120" w:line="240" w:lineRule="auto"/>
        <w:ind w:firstLine="709"/>
        <w:jc w:val="both"/>
        <w:rPr>
          <w:rFonts w:ascii="Times New Roman" w:hAnsi="Times New Roman" w:cs="Times New Roman"/>
          <w:bCs/>
          <w:sz w:val="26"/>
          <w:szCs w:val="26"/>
        </w:rPr>
      </w:pPr>
      <w:r w:rsidRPr="00CE5135">
        <w:rPr>
          <w:rFonts w:ascii="Times New Roman" w:hAnsi="Times New Roman" w:cs="Times New Roman"/>
          <w:bCs/>
          <w:sz w:val="26"/>
          <w:szCs w:val="26"/>
        </w:rPr>
        <w:t xml:space="preserve">РСПП поддерживает стремление Минэнерго России к публичному обсуждению проекта </w:t>
      </w:r>
      <w:proofErr w:type="spellStart"/>
      <w:r w:rsidRPr="00CE5135">
        <w:rPr>
          <w:rFonts w:ascii="Times New Roman" w:hAnsi="Times New Roman" w:cs="Times New Roman"/>
          <w:bCs/>
          <w:sz w:val="26"/>
          <w:szCs w:val="26"/>
        </w:rPr>
        <w:t>Энергостратегии</w:t>
      </w:r>
      <w:proofErr w:type="spellEnd"/>
      <w:r w:rsidRPr="00CE5135">
        <w:rPr>
          <w:rFonts w:ascii="Times New Roman" w:hAnsi="Times New Roman" w:cs="Times New Roman"/>
          <w:bCs/>
          <w:sz w:val="26"/>
          <w:szCs w:val="26"/>
        </w:rPr>
        <w:t xml:space="preserve"> в целях максимально возможного учета мнений заинтересованных сторон: не только регуляторов в лице федеральных органов исполнительной власти, принимающих управленческие решения, но и объектов регулирования – компаний различных форм собственности. </w:t>
      </w:r>
    </w:p>
    <w:p w:rsidR="00A44E5D" w:rsidRPr="00CE5135" w:rsidRDefault="00A44E5D" w:rsidP="00CE5135">
      <w:pPr>
        <w:spacing w:after="120" w:line="240" w:lineRule="auto"/>
        <w:ind w:firstLine="709"/>
        <w:jc w:val="both"/>
        <w:rPr>
          <w:rFonts w:ascii="Times New Roman" w:hAnsi="Times New Roman" w:cs="Times New Roman"/>
          <w:bCs/>
          <w:sz w:val="26"/>
          <w:szCs w:val="26"/>
        </w:rPr>
      </w:pPr>
      <w:r w:rsidRPr="00CE5135">
        <w:rPr>
          <w:rFonts w:ascii="Times New Roman" w:hAnsi="Times New Roman" w:cs="Times New Roman"/>
          <w:bCs/>
          <w:sz w:val="26"/>
          <w:szCs w:val="26"/>
        </w:rPr>
        <w:t xml:space="preserve">Отмечая, что после доработки в августе – сентябре 2015 года в проекте </w:t>
      </w:r>
      <w:proofErr w:type="spellStart"/>
      <w:r w:rsidRPr="00CE5135">
        <w:rPr>
          <w:rFonts w:ascii="Times New Roman" w:hAnsi="Times New Roman" w:cs="Times New Roman"/>
          <w:bCs/>
          <w:sz w:val="26"/>
          <w:szCs w:val="26"/>
        </w:rPr>
        <w:t>Энергостратегии</w:t>
      </w:r>
      <w:proofErr w:type="spellEnd"/>
      <w:r w:rsidRPr="00CE5135">
        <w:rPr>
          <w:rFonts w:ascii="Times New Roman" w:hAnsi="Times New Roman" w:cs="Times New Roman"/>
          <w:bCs/>
          <w:sz w:val="26"/>
          <w:szCs w:val="26"/>
        </w:rPr>
        <w:t xml:space="preserve"> учтена часть пожеланий </w:t>
      </w:r>
      <w:proofErr w:type="gramStart"/>
      <w:r w:rsidRPr="00CE5135">
        <w:rPr>
          <w:rFonts w:ascii="Times New Roman" w:hAnsi="Times New Roman" w:cs="Times New Roman"/>
          <w:bCs/>
          <w:sz w:val="26"/>
          <w:szCs w:val="26"/>
        </w:rPr>
        <w:t>бизнес-сообщества</w:t>
      </w:r>
      <w:proofErr w:type="gramEnd"/>
      <w:r w:rsidRPr="00CE5135">
        <w:rPr>
          <w:rFonts w:ascii="Times New Roman" w:hAnsi="Times New Roman" w:cs="Times New Roman"/>
          <w:bCs/>
          <w:sz w:val="26"/>
          <w:szCs w:val="26"/>
        </w:rPr>
        <w:t xml:space="preserve"> (необходимость развития конкуренции, снятие необоснованных ограничений для инвестиций и др.), РСПП считает одним из важнейших вопросов наличие доверия государственному документу планирования. Например, недавние события отчетливо продемонстрировали, что не для всех «стратегический тезис» о стабильных и предсказуемых условиях налогового режима имеет одинаковое значение. Так, содержание проекта стратегии о том, что «изъятие природной ренты должно осуществляться без ущерба финансовой устойчивости и инвестиционной привлекательности отраслей и эффективных компаний ТЭК» фактически дезавуировано прозвучавшими предложениями Минфина России о новых параметрах расчета НДПИ и экспортных пошлин, предполагающих изъятие дополнительно 1,6 </w:t>
      </w:r>
      <w:proofErr w:type="gramStart"/>
      <w:r w:rsidRPr="00CE5135">
        <w:rPr>
          <w:rFonts w:ascii="Times New Roman" w:hAnsi="Times New Roman" w:cs="Times New Roman"/>
          <w:bCs/>
          <w:sz w:val="26"/>
          <w:szCs w:val="26"/>
        </w:rPr>
        <w:t>трлн</w:t>
      </w:r>
      <w:proofErr w:type="gramEnd"/>
      <w:r w:rsidRPr="00CE5135">
        <w:rPr>
          <w:rFonts w:ascii="Times New Roman" w:hAnsi="Times New Roman" w:cs="Times New Roman"/>
          <w:bCs/>
          <w:sz w:val="26"/>
          <w:szCs w:val="26"/>
        </w:rPr>
        <w:t xml:space="preserve"> рублей у компаний в 2016-2018 годах.</w:t>
      </w:r>
    </w:p>
    <w:p w:rsidR="00A44E5D" w:rsidRPr="00CE5135" w:rsidRDefault="00A44E5D" w:rsidP="00CE5135">
      <w:pPr>
        <w:spacing w:after="120" w:line="240" w:lineRule="auto"/>
        <w:ind w:firstLine="709"/>
        <w:jc w:val="both"/>
        <w:rPr>
          <w:rFonts w:ascii="Times New Roman" w:hAnsi="Times New Roman" w:cs="Times New Roman"/>
          <w:bCs/>
          <w:sz w:val="26"/>
          <w:szCs w:val="26"/>
        </w:rPr>
      </w:pPr>
      <w:r w:rsidRPr="00CE5135">
        <w:rPr>
          <w:rFonts w:ascii="Times New Roman" w:hAnsi="Times New Roman" w:cs="Times New Roman"/>
          <w:bCs/>
          <w:sz w:val="26"/>
          <w:szCs w:val="26"/>
        </w:rPr>
        <w:t xml:space="preserve">В этой связи возникают закономерные вопросы. Как бизнесу относиться </w:t>
      </w:r>
      <w:proofErr w:type="gramStart"/>
      <w:r w:rsidRPr="00CE5135">
        <w:rPr>
          <w:rFonts w:ascii="Times New Roman" w:hAnsi="Times New Roman" w:cs="Times New Roman"/>
          <w:bCs/>
          <w:sz w:val="26"/>
          <w:szCs w:val="26"/>
        </w:rPr>
        <w:t>к</w:t>
      </w:r>
      <w:proofErr w:type="gramEnd"/>
      <w:r w:rsidRPr="00CE5135">
        <w:rPr>
          <w:rFonts w:ascii="Times New Roman" w:hAnsi="Times New Roman" w:cs="Times New Roman"/>
          <w:bCs/>
          <w:sz w:val="26"/>
          <w:szCs w:val="26"/>
        </w:rPr>
        <w:t xml:space="preserve"> написанному в стратегии? Разве только как к «декларации намерений»?</w:t>
      </w:r>
    </w:p>
    <w:p w:rsidR="00A44E5D" w:rsidRPr="000F4260" w:rsidRDefault="00A44E5D" w:rsidP="00CE5135">
      <w:pPr>
        <w:spacing w:after="120" w:line="240" w:lineRule="auto"/>
        <w:ind w:firstLine="709"/>
        <w:jc w:val="both"/>
        <w:rPr>
          <w:rFonts w:ascii="Times New Roman" w:hAnsi="Times New Roman" w:cs="Times New Roman"/>
          <w:bCs/>
          <w:sz w:val="26"/>
          <w:szCs w:val="26"/>
        </w:rPr>
      </w:pPr>
      <w:proofErr w:type="gramStart"/>
      <w:r w:rsidRPr="00CE5135">
        <w:rPr>
          <w:rFonts w:ascii="Times New Roman" w:hAnsi="Times New Roman" w:cs="Times New Roman"/>
          <w:bCs/>
          <w:sz w:val="26"/>
          <w:szCs w:val="26"/>
        </w:rPr>
        <w:t xml:space="preserve">В настоящем обзоре представлены обобщенные замечания к проекту Энергостратегии-2035, поступившие от компаний – членов РСПП, а также предложения по вызывающим наиболее активную дискуссию вопросам – особенностям прогнозирования мировых энергетических рынков, высокой волатильности цен на нефть и оптимальному налоговому окружению нефтегазового сектора, призванного обеспечивать бюджетную стабильность и сбалансированность и в очередном горизонте государственного планирования. </w:t>
      </w:r>
      <w:proofErr w:type="gramEnd"/>
    </w:p>
    <w:p w:rsidR="00A44E5D" w:rsidRPr="000F4260" w:rsidRDefault="00A44E5D" w:rsidP="00CE5135">
      <w:pPr>
        <w:spacing w:after="120" w:line="240" w:lineRule="auto"/>
        <w:ind w:firstLine="709"/>
        <w:jc w:val="both"/>
        <w:rPr>
          <w:rFonts w:ascii="Times New Roman" w:hAnsi="Times New Roman" w:cs="Times New Roman"/>
          <w:bCs/>
          <w:sz w:val="26"/>
          <w:szCs w:val="26"/>
        </w:rPr>
      </w:pPr>
    </w:p>
    <w:p w:rsidR="00A44E5D" w:rsidRPr="000F4260" w:rsidRDefault="00A44E5D" w:rsidP="00A44E5D">
      <w:pPr>
        <w:ind w:firstLine="709"/>
        <w:jc w:val="both"/>
        <w:rPr>
          <w:rFonts w:ascii="Times New Roman" w:hAnsi="Times New Roman" w:cs="Times New Roman"/>
          <w:bCs/>
          <w:sz w:val="28"/>
          <w:szCs w:val="28"/>
        </w:rPr>
      </w:pPr>
    </w:p>
    <w:p w:rsidR="00A44E5D" w:rsidRPr="00922DFA" w:rsidRDefault="00A44E5D" w:rsidP="00CE5135">
      <w:pPr>
        <w:jc w:val="both"/>
        <w:rPr>
          <w:rFonts w:ascii="Times New Roman" w:hAnsi="Times New Roman" w:cs="Times New Roman"/>
          <w:bCs/>
          <w:sz w:val="28"/>
          <w:szCs w:val="28"/>
        </w:rPr>
      </w:pPr>
    </w:p>
    <w:p w:rsidR="00A44E5D" w:rsidRPr="00B55B7E" w:rsidRDefault="00A44E5D" w:rsidP="00CE5135">
      <w:pPr>
        <w:pStyle w:val="1"/>
        <w:jc w:val="both"/>
        <w:rPr>
          <w:rFonts w:ascii="Times New Roman" w:hAnsi="Times New Roman" w:cs="Times New Roman"/>
          <w:color w:val="1F497D" w:themeColor="text2"/>
        </w:rPr>
      </w:pPr>
      <w:bookmarkStart w:id="2" w:name="_Toc431474217"/>
      <w:r w:rsidRPr="00B55B7E">
        <w:rPr>
          <w:rFonts w:ascii="Times New Roman" w:hAnsi="Times New Roman" w:cs="Times New Roman"/>
          <w:color w:val="1F497D" w:themeColor="text2"/>
        </w:rPr>
        <w:lastRenderedPageBreak/>
        <w:t>Общие замечания к структуре и базовым положениям проекта Энергетической стратегии России на период до 2035 года</w:t>
      </w:r>
      <w:bookmarkEnd w:id="2"/>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Предложенный вариант проекта Энергетической стратегии России на период до 2035 года (далее – ЭС-2035</w:t>
      </w:r>
      <w:r w:rsidR="00506AF9">
        <w:rPr>
          <w:rFonts w:ascii="Times New Roman" w:hAnsi="Times New Roman" w:cs="Times New Roman"/>
          <w:sz w:val="26"/>
          <w:szCs w:val="26"/>
        </w:rPr>
        <w:t>, Энергетическая стратегия, Стратегия</w:t>
      </w:r>
      <w:r w:rsidRPr="00CE5135">
        <w:rPr>
          <w:rFonts w:ascii="Times New Roman" w:hAnsi="Times New Roman" w:cs="Times New Roman"/>
          <w:sz w:val="26"/>
          <w:szCs w:val="26"/>
        </w:rPr>
        <w:t>) принципиально отличается от действующей Энергетической стратегии (утв. распоряжением Правительства РФ от 13.11.2009 №1715-р) отсутствием детальных индикативных балансов развития отраслей ТЭК.</w:t>
      </w:r>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В отраслевых подразделах, посвященных нефтяной и газовой промышленности, предельно коротко изложены текущие тенденции, вызовы и проблемы развития обеих отраслей, отраслевые задачи и отдельные меры, направленные на решение данных задач. При этом в перечне мер смешаны меры государственного регулирования, инвестиционные проекты отраслевых компаний и эффективность НИОКР.</w:t>
      </w:r>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Общим недостатком обоих подразделов, как и в целом анализа развития нефтяной и газовой отраслей в ЭС-2035, является отсутствие целостности изложения, включая неясность целевой модели развития, а также взаимосвязи выявленных проблем, задач и мер государственного регулирования. Можно предположить, что системность изложения в данном случае стала жертвой его лаконичности.</w:t>
      </w:r>
    </w:p>
    <w:p w:rsidR="00A44E5D"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Отрывочный, несистемный характер материалов, посвященных развитию нефтяной и газовой отраслей в ЭС-2035, требует повышенного внимания к разрабатываемым сегодня проектам Генеральных схем развития нефтяной и газовой отраслей. В сложившихся условиях Генеральные схемы вынуждены взять на себя нехарактерную для них ранее роль – отраслевых стратегий развития, восполняя лакуны ЭС-2035.</w:t>
      </w:r>
    </w:p>
    <w:p w:rsidR="00A01793" w:rsidRDefault="00A01793" w:rsidP="00A01793">
      <w:pPr>
        <w:spacing w:after="120" w:line="240" w:lineRule="auto"/>
        <w:ind w:firstLine="708"/>
        <w:jc w:val="both"/>
        <w:rPr>
          <w:rFonts w:ascii="Times New Roman" w:hAnsi="Times New Roman" w:cs="Times New Roman"/>
          <w:sz w:val="26"/>
          <w:szCs w:val="26"/>
        </w:rPr>
      </w:pPr>
      <w:r w:rsidRPr="00A01793">
        <w:rPr>
          <w:rFonts w:ascii="Times New Roman" w:hAnsi="Times New Roman" w:cs="Times New Roman"/>
          <w:sz w:val="26"/>
          <w:szCs w:val="26"/>
        </w:rPr>
        <w:t xml:space="preserve">Стратегия развития </w:t>
      </w:r>
      <w:r>
        <w:rPr>
          <w:rFonts w:ascii="Times New Roman" w:hAnsi="Times New Roman" w:cs="Times New Roman"/>
          <w:sz w:val="26"/>
          <w:szCs w:val="26"/>
        </w:rPr>
        <w:t xml:space="preserve">топливно-энергетического комплекса </w:t>
      </w:r>
      <w:r w:rsidRPr="00A01793">
        <w:rPr>
          <w:rFonts w:ascii="Times New Roman" w:hAnsi="Times New Roman" w:cs="Times New Roman"/>
          <w:sz w:val="26"/>
          <w:szCs w:val="26"/>
        </w:rPr>
        <w:t>должна быть взаимо</w:t>
      </w:r>
      <w:r w:rsidR="00C57773">
        <w:rPr>
          <w:rFonts w:ascii="Times New Roman" w:hAnsi="Times New Roman" w:cs="Times New Roman"/>
          <w:sz w:val="26"/>
          <w:szCs w:val="26"/>
        </w:rPr>
        <w:t>у</w:t>
      </w:r>
      <w:r w:rsidRPr="00A01793">
        <w:rPr>
          <w:rFonts w:ascii="Times New Roman" w:hAnsi="Times New Roman" w:cs="Times New Roman"/>
          <w:sz w:val="26"/>
          <w:szCs w:val="26"/>
        </w:rPr>
        <w:t>вязана с развитием смежных отраслей и комплексов</w:t>
      </w:r>
      <w:r>
        <w:rPr>
          <w:rFonts w:ascii="Times New Roman" w:hAnsi="Times New Roman" w:cs="Times New Roman"/>
          <w:sz w:val="26"/>
          <w:szCs w:val="26"/>
        </w:rPr>
        <w:t xml:space="preserve">. </w:t>
      </w:r>
      <w:r w:rsidRPr="00A01793">
        <w:rPr>
          <w:rFonts w:ascii="Times New Roman" w:hAnsi="Times New Roman" w:cs="Times New Roman"/>
          <w:sz w:val="26"/>
          <w:szCs w:val="26"/>
        </w:rPr>
        <w:t xml:space="preserve">Рассматривать </w:t>
      </w:r>
      <w:proofErr w:type="spellStart"/>
      <w:r>
        <w:rPr>
          <w:rFonts w:ascii="Times New Roman" w:hAnsi="Times New Roman" w:cs="Times New Roman"/>
          <w:sz w:val="26"/>
          <w:szCs w:val="26"/>
        </w:rPr>
        <w:t>Энергостратегию</w:t>
      </w:r>
      <w:proofErr w:type="spellEnd"/>
      <w:r>
        <w:rPr>
          <w:rFonts w:ascii="Times New Roman" w:hAnsi="Times New Roman" w:cs="Times New Roman"/>
          <w:sz w:val="26"/>
          <w:szCs w:val="26"/>
        </w:rPr>
        <w:t xml:space="preserve"> </w:t>
      </w:r>
      <w:r w:rsidRPr="00A01793">
        <w:rPr>
          <w:rFonts w:ascii="Times New Roman" w:hAnsi="Times New Roman" w:cs="Times New Roman"/>
          <w:sz w:val="26"/>
          <w:szCs w:val="26"/>
        </w:rPr>
        <w:t>без увязки со стратегией развития машиностроительн</w:t>
      </w:r>
      <w:r w:rsidR="00790EC2">
        <w:rPr>
          <w:rFonts w:ascii="Times New Roman" w:hAnsi="Times New Roman" w:cs="Times New Roman"/>
          <w:sz w:val="26"/>
          <w:szCs w:val="26"/>
        </w:rPr>
        <w:t>ого</w:t>
      </w:r>
      <w:r w:rsidRPr="00A01793">
        <w:rPr>
          <w:rFonts w:ascii="Times New Roman" w:hAnsi="Times New Roman" w:cs="Times New Roman"/>
          <w:sz w:val="26"/>
          <w:szCs w:val="26"/>
        </w:rPr>
        <w:t xml:space="preserve"> и транспортн</w:t>
      </w:r>
      <w:r w:rsidR="00790EC2">
        <w:rPr>
          <w:rFonts w:ascii="Times New Roman" w:hAnsi="Times New Roman" w:cs="Times New Roman"/>
          <w:sz w:val="26"/>
          <w:szCs w:val="26"/>
        </w:rPr>
        <w:t>ого</w:t>
      </w:r>
      <w:r w:rsidRPr="00A01793">
        <w:rPr>
          <w:rFonts w:ascii="Times New Roman" w:hAnsi="Times New Roman" w:cs="Times New Roman"/>
          <w:sz w:val="26"/>
          <w:szCs w:val="26"/>
        </w:rPr>
        <w:t xml:space="preserve">  комплекс</w:t>
      </w:r>
      <w:r w:rsidR="00790EC2">
        <w:rPr>
          <w:rFonts w:ascii="Times New Roman" w:hAnsi="Times New Roman" w:cs="Times New Roman"/>
          <w:sz w:val="26"/>
          <w:szCs w:val="26"/>
        </w:rPr>
        <w:t>а</w:t>
      </w:r>
      <w:r w:rsidRPr="00A01793">
        <w:rPr>
          <w:rFonts w:ascii="Times New Roman" w:hAnsi="Times New Roman" w:cs="Times New Roman"/>
          <w:sz w:val="26"/>
          <w:szCs w:val="26"/>
        </w:rPr>
        <w:t>, металлурги</w:t>
      </w:r>
      <w:r w:rsidR="00790EC2">
        <w:rPr>
          <w:rFonts w:ascii="Times New Roman" w:hAnsi="Times New Roman" w:cs="Times New Roman"/>
          <w:sz w:val="26"/>
          <w:szCs w:val="26"/>
        </w:rPr>
        <w:t>и</w:t>
      </w:r>
      <w:r w:rsidRPr="00A01793">
        <w:rPr>
          <w:rFonts w:ascii="Times New Roman" w:hAnsi="Times New Roman" w:cs="Times New Roman"/>
          <w:sz w:val="26"/>
          <w:szCs w:val="26"/>
        </w:rPr>
        <w:t xml:space="preserve"> и др.</w:t>
      </w:r>
      <w:r w:rsidR="00790EC2">
        <w:rPr>
          <w:rFonts w:ascii="Times New Roman" w:hAnsi="Times New Roman" w:cs="Times New Roman"/>
          <w:sz w:val="26"/>
          <w:szCs w:val="26"/>
        </w:rPr>
        <w:t xml:space="preserve"> отраслей</w:t>
      </w:r>
      <w:r w:rsidRPr="00A01793">
        <w:rPr>
          <w:rFonts w:ascii="Times New Roman" w:hAnsi="Times New Roman" w:cs="Times New Roman"/>
          <w:sz w:val="26"/>
          <w:szCs w:val="26"/>
        </w:rPr>
        <w:t xml:space="preserve"> некорректно ввиду наличия тесных технологических связей. Так</w:t>
      </w:r>
      <w:r>
        <w:rPr>
          <w:rFonts w:ascii="Times New Roman" w:hAnsi="Times New Roman" w:cs="Times New Roman"/>
          <w:sz w:val="26"/>
          <w:szCs w:val="26"/>
        </w:rPr>
        <w:t>,</w:t>
      </w:r>
      <w:r w:rsidRPr="00A01793">
        <w:rPr>
          <w:rFonts w:ascii="Times New Roman" w:hAnsi="Times New Roman" w:cs="Times New Roman"/>
          <w:sz w:val="26"/>
          <w:szCs w:val="26"/>
        </w:rPr>
        <w:t xml:space="preserve"> заявленное в </w:t>
      </w:r>
      <w:r>
        <w:rPr>
          <w:rFonts w:ascii="Times New Roman" w:hAnsi="Times New Roman" w:cs="Times New Roman"/>
          <w:sz w:val="26"/>
          <w:szCs w:val="26"/>
        </w:rPr>
        <w:t xml:space="preserve">ЭС-2035 </w:t>
      </w:r>
      <w:r w:rsidRPr="00A01793">
        <w:rPr>
          <w:rFonts w:ascii="Times New Roman" w:hAnsi="Times New Roman" w:cs="Times New Roman"/>
          <w:sz w:val="26"/>
          <w:szCs w:val="26"/>
        </w:rPr>
        <w:t>создание новых центров угледобычи в Республике Саха (Якутия), Республике Тыва, Забайкальском крае и других регионах Сибири и Дальнего Востока, способных обеспечить рост экспорта угля не менее чем на треть в страны АТР</w:t>
      </w:r>
      <w:r>
        <w:rPr>
          <w:rFonts w:ascii="Times New Roman" w:hAnsi="Times New Roman" w:cs="Times New Roman"/>
          <w:sz w:val="26"/>
          <w:szCs w:val="26"/>
        </w:rPr>
        <w:t>,</w:t>
      </w:r>
      <w:r w:rsidRPr="00A01793">
        <w:rPr>
          <w:rFonts w:ascii="Times New Roman" w:hAnsi="Times New Roman" w:cs="Times New Roman"/>
          <w:sz w:val="26"/>
          <w:szCs w:val="26"/>
        </w:rPr>
        <w:t xml:space="preserve"> должн</w:t>
      </w:r>
      <w:r w:rsidR="00790EC2">
        <w:rPr>
          <w:rFonts w:ascii="Times New Roman" w:hAnsi="Times New Roman" w:cs="Times New Roman"/>
          <w:sz w:val="26"/>
          <w:szCs w:val="26"/>
        </w:rPr>
        <w:t>о</w:t>
      </w:r>
      <w:r w:rsidRPr="00A01793">
        <w:rPr>
          <w:rFonts w:ascii="Times New Roman" w:hAnsi="Times New Roman" w:cs="Times New Roman"/>
          <w:sz w:val="26"/>
          <w:szCs w:val="26"/>
        </w:rPr>
        <w:t xml:space="preserve"> быть обеспечен</w:t>
      </w:r>
      <w:r w:rsidR="00790EC2">
        <w:rPr>
          <w:rFonts w:ascii="Times New Roman" w:hAnsi="Times New Roman" w:cs="Times New Roman"/>
          <w:sz w:val="26"/>
          <w:szCs w:val="26"/>
        </w:rPr>
        <w:t>о</w:t>
      </w:r>
      <w:r w:rsidRPr="00A01793">
        <w:rPr>
          <w:rFonts w:ascii="Times New Roman" w:hAnsi="Times New Roman" w:cs="Times New Roman"/>
          <w:sz w:val="26"/>
          <w:szCs w:val="26"/>
        </w:rPr>
        <w:t xml:space="preserve"> необходимой железнодорожной инфраструктурой в регионах угледобычи.</w:t>
      </w:r>
    </w:p>
    <w:p w:rsidR="00293781" w:rsidRPr="00293781" w:rsidRDefault="00293781" w:rsidP="00293781">
      <w:pPr>
        <w:spacing w:after="120" w:line="240" w:lineRule="auto"/>
        <w:ind w:firstLine="708"/>
        <w:jc w:val="both"/>
        <w:rPr>
          <w:rFonts w:ascii="Times New Roman" w:hAnsi="Times New Roman" w:cs="Times New Roman"/>
          <w:sz w:val="26"/>
          <w:szCs w:val="26"/>
        </w:rPr>
      </w:pPr>
      <w:r w:rsidRPr="00293781">
        <w:rPr>
          <w:rFonts w:ascii="Times New Roman" w:hAnsi="Times New Roman" w:cs="Times New Roman"/>
          <w:sz w:val="26"/>
          <w:szCs w:val="26"/>
        </w:rPr>
        <w:t>Проект Э</w:t>
      </w:r>
      <w:r>
        <w:rPr>
          <w:rFonts w:ascii="Times New Roman" w:hAnsi="Times New Roman" w:cs="Times New Roman"/>
          <w:sz w:val="26"/>
          <w:szCs w:val="26"/>
        </w:rPr>
        <w:t xml:space="preserve">С-2035 </w:t>
      </w:r>
      <w:r w:rsidRPr="00293781">
        <w:rPr>
          <w:rFonts w:ascii="Times New Roman" w:hAnsi="Times New Roman" w:cs="Times New Roman"/>
          <w:sz w:val="26"/>
          <w:szCs w:val="26"/>
        </w:rPr>
        <w:t xml:space="preserve">в полной мере </w:t>
      </w:r>
      <w:r>
        <w:rPr>
          <w:rFonts w:ascii="Times New Roman" w:hAnsi="Times New Roman" w:cs="Times New Roman"/>
          <w:sz w:val="26"/>
          <w:szCs w:val="26"/>
        </w:rPr>
        <w:t xml:space="preserve">не </w:t>
      </w:r>
      <w:r w:rsidRPr="00293781">
        <w:rPr>
          <w:rFonts w:ascii="Times New Roman" w:hAnsi="Times New Roman" w:cs="Times New Roman"/>
          <w:sz w:val="26"/>
          <w:szCs w:val="26"/>
        </w:rPr>
        <w:t xml:space="preserve">отражает инфраструктурный характер </w:t>
      </w:r>
      <w:r>
        <w:rPr>
          <w:rFonts w:ascii="Times New Roman" w:hAnsi="Times New Roman" w:cs="Times New Roman"/>
          <w:sz w:val="26"/>
          <w:szCs w:val="26"/>
        </w:rPr>
        <w:t xml:space="preserve">топливно-энергетического комплекса </w:t>
      </w:r>
      <w:r w:rsidRPr="00293781">
        <w:rPr>
          <w:rFonts w:ascii="Times New Roman" w:hAnsi="Times New Roman" w:cs="Times New Roman"/>
          <w:sz w:val="26"/>
          <w:szCs w:val="26"/>
        </w:rPr>
        <w:t xml:space="preserve">и </w:t>
      </w:r>
      <w:r>
        <w:rPr>
          <w:rFonts w:ascii="Times New Roman" w:hAnsi="Times New Roman" w:cs="Times New Roman"/>
          <w:sz w:val="26"/>
          <w:szCs w:val="26"/>
        </w:rPr>
        <w:t xml:space="preserve">его </w:t>
      </w:r>
      <w:r w:rsidRPr="00293781">
        <w:rPr>
          <w:rFonts w:ascii="Times New Roman" w:hAnsi="Times New Roman" w:cs="Times New Roman"/>
          <w:sz w:val="26"/>
          <w:szCs w:val="26"/>
        </w:rPr>
        <w:t>влияние на промышленность и социальную сферу России:</w:t>
      </w:r>
    </w:p>
    <w:p w:rsidR="00293781" w:rsidRPr="00293781" w:rsidRDefault="00293781" w:rsidP="00293781">
      <w:pPr>
        <w:numPr>
          <w:ilvl w:val="0"/>
          <w:numId w:val="23"/>
        </w:numPr>
        <w:spacing w:after="120" w:line="240" w:lineRule="auto"/>
        <w:jc w:val="both"/>
        <w:rPr>
          <w:rFonts w:ascii="Times New Roman" w:hAnsi="Times New Roman" w:cs="Times New Roman"/>
          <w:sz w:val="26"/>
          <w:szCs w:val="26"/>
        </w:rPr>
      </w:pPr>
      <w:r w:rsidRPr="00293781">
        <w:rPr>
          <w:rFonts w:ascii="Times New Roman" w:hAnsi="Times New Roman" w:cs="Times New Roman"/>
          <w:sz w:val="26"/>
          <w:szCs w:val="26"/>
        </w:rPr>
        <w:t>отсутствуют цели и задачи энергетики по обеспечению ускоренного преодоления кризисных явлений в экономики страны;</w:t>
      </w:r>
    </w:p>
    <w:p w:rsidR="00293781" w:rsidRPr="00293781" w:rsidRDefault="00293781" w:rsidP="00293781">
      <w:pPr>
        <w:numPr>
          <w:ilvl w:val="0"/>
          <w:numId w:val="23"/>
        </w:numPr>
        <w:spacing w:after="120" w:line="240" w:lineRule="auto"/>
        <w:jc w:val="both"/>
        <w:rPr>
          <w:rFonts w:ascii="Times New Roman" w:hAnsi="Times New Roman" w:cs="Times New Roman"/>
          <w:sz w:val="26"/>
          <w:szCs w:val="26"/>
        </w:rPr>
      </w:pPr>
      <w:r w:rsidRPr="00293781">
        <w:rPr>
          <w:rFonts w:ascii="Times New Roman" w:hAnsi="Times New Roman" w:cs="Times New Roman"/>
          <w:sz w:val="26"/>
          <w:szCs w:val="26"/>
        </w:rPr>
        <w:t>не ставится задач по поддержке отечественной промышленности со стороны энергетики;</w:t>
      </w:r>
    </w:p>
    <w:p w:rsidR="00293781" w:rsidRPr="00293781" w:rsidRDefault="00293781" w:rsidP="00293781">
      <w:pPr>
        <w:numPr>
          <w:ilvl w:val="0"/>
          <w:numId w:val="23"/>
        </w:numPr>
        <w:spacing w:after="120" w:line="240" w:lineRule="auto"/>
        <w:jc w:val="both"/>
        <w:rPr>
          <w:rFonts w:ascii="Times New Roman" w:hAnsi="Times New Roman" w:cs="Times New Roman"/>
          <w:sz w:val="26"/>
          <w:szCs w:val="26"/>
        </w:rPr>
      </w:pPr>
      <w:r w:rsidRPr="00293781">
        <w:rPr>
          <w:rFonts w:ascii="Times New Roman" w:hAnsi="Times New Roman" w:cs="Times New Roman"/>
          <w:sz w:val="26"/>
          <w:szCs w:val="26"/>
        </w:rPr>
        <w:t xml:space="preserve">сохраняется </w:t>
      </w:r>
      <w:r>
        <w:rPr>
          <w:rFonts w:ascii="Times New Roman" w:hAnsi="Times New Roman" w:cs="Times New Roman"/>
          <w:sz w:val="26"/>
          <w:szCs w:val="26"/>
        </w:rPr>
        <w:t xml:space="preserve">доминирующая </w:t>
      </w:r>
      <w:r w:rsidRPr="00293781">
        <w:rPr>
          <w:rFonts w:ascii="Times New Roman" w:hAnsi="Times New Roman" w:cs="Times New Roman"/>
          <w:sz w:val="26"/>
          <w:szCs w:val="26"/>
        </w:rPr>
        <w:t>экспортная ориентация энергетики;</w:t>
      </w:r>
    </w:p>
    <w:p w:rsidR="00293781" w:rsidRPr="00293781" w:rsidRDefault="00293781" w:rsidP="00293781">
      <w:pPr>
        <w:numPr>
          <w:ilvl w:val="0"/>
          <w:numId w:val="23"/>
        </w:numPr>
        <w:spacing w:after="120" w:line="240" w:lineRule="auto"/>
        <w:jc w:val="both"/>
        <w:rPr>
          <w:rFonts w:ascii="Times New Roman" w:hAnsi="Times New Roman" w:cs="Times New Roman"/>
          <w:sz w:val="26"/>
          <w:szCs w:val="26"/>
        </w:rPr>
      </w:pPr>
      <w:r w:rsidRPr="00293781">
        <w:rPr>
          <w:rFonts w:ascii="Times New Roman" w:hAnsi="Times New Roman" w:cs="Times New Roman"/>
          <w:sz w:val="26"/>
          <w:szCs w:val="26"/>
        </w:rPr>
        <w:t>прогнозируемая динамика цен противоположна существующей в мире динамике цен на энергоносители (цены на нефть и природный газ падают, а внутренние цены на бензин и электроэнергию будут расти);</w:t>
      </w:r>
    </w:p>
    <w:p w:rsidR="00293781" w:rsidRPr="00293781" w:rsidRDefault="00293781" w:rsidP="00293781">
      <w:pPr>
        <w:numPr>
          <w:ilvl w:val="0"/>
          <w:numId w:val="23"/>
        </w:numPr>
        <w:spacing w:after="120" w:line="240" w:lineRule="auto"/>
        <w:jc w:val="both"/>
        <w:rPr>
          <w:rFonts w:ascii="Times New Roman" w:hAnsi="Times New Roman" w:cs="Times New Roman"/>
          <w:sz w:val="26"/>
          <w:szCs w:val="26"/>
        </w:rPr>
      </w:pPr>
      <w:r w:rsidRPr="00293781">
        <w:rPr>
          <w:rFonts w:ascii="Times New Roman" w:hAnsi="Times New Roman" w:cs="Times New Roman"/>
          <w:sz w:val="26"/>
          <w:szCs w:val="26"/>
        </w:rPr>
        <w:lastRenderedPageBreak/>
        <w:t xml:space="preserve">задача по снижению цен государственных монополий (услуги по передаче электроэнергии и транспорту нефти и газа) не </w:t>
      </w:r>
      <w:r>
        <w:rPr>
          <w:rFonts w:ascii="Times New Roman" w:hAnsi="Times New Roman" w:cs="Times New Roman"/>
          <w:sz w:val="26"/>
          <w:szCs w:val="26"/>
        </w:rPr>
        <w:t>обсуждается</w:t>
      </w:r>
      <w:r w:rsidRPr="00293781">
        <w:rPr>
          <w:rFonts w:ascii="Times New Roman" w:hAnsi="Times New Roman" w:cs="Times New Roman"/>
          <w:sz w:val="26"/>
          <w:szCs w:val="26"/>
        </w:rPr>
        <w:t>;</w:t>
      </w:r>
    </w:p>
    <w:p w:rsidR="00293781" w:rsidRPr="00293781" w:rsidRDefault="00293781" w:rsidP="00293781">
      <w:pPr>
        <w:numPr>
          <w:ilvl w:val="0"/>
          <w:numId w:val="23"/>
        </w:numPr>
        <w:spacing w:after="120" w:line="240" w:lineRule="auto"/>
        <w:jc w:val="both"/>
        <w:rPr>
          <w:rFonts w:ascii="Times New Roman" w:hAnsi="Times New Roman" w:cs="Times New Roman"/>
          <w:sz w:val="26"/>
          <w:szCs w:val="26"/>
        </w:rPr>
      </w:pPr>
      <w:r w:rsidRPr="00293781">
        <w:rPr>
          <w:rFonts w:ascii="Times New Roman" w:hAnsi="Times New Roman" w:cs="Times New Roman"/>
          <w:sz w:val="26"/>
          <w:szCs w:val="26"/>
        </w:rPr>
        <w:t>задачи по решению существующих проблем энергетики, обеспечивающие повышение эффективности (ликвидация перекрестного субсидирования, реформирование рынка электроэнергии и мощности, изменение принципов ценообразования, обновление мощностей и т.д.), перенесены на «</w:t>
      </w:r>
      <w:proofErr w:type="spellStart"/>
      <w:r w:rsidRPr="00293781">
        <w:rPr>
          <w:rFonts w:ascii="Times New Roman" w:hAnsi="Times New Roman" w:cs="Times New Roman"/>
          <w:sz w:val="26"/>
          <w:szCs w:val="26"/>
        </w:rPr>
        <w:t>послекризисный</w:t>
      </w:r>
      <w:proofErr w:type="spellEnd"/>
      <w:r w:rsidRPr="00293781">
        <w:rPr>
          <w:rFonts w:ascii="Times New Roman" w:hAnsi="Times New Roman" w:cs="Times New Roman"/>
          <w:sz w:val="26"/>
          <w:szCs w:val="26"/>
        </w:rPr>
        <w:t>» второй этап – после 2020 г.</w:t>
      </w:r>
    </w:p>
    <w:p w:rsidR="00A01793" w:rsidRPr="00A01793" w:rsidRDefault="00A01793" w:rsidP="00506AF9">
      <w:pPr>
        <w:spacing w:after="120" w:line="240" w:lineRule="auto"/>
        <w:ind w:firstLine="708"/>
        <w:jc w:val="both"/>
        <w:rPr>
          <w:rFonts w:ascii="Times New Roman" w:hAnsi="Times New Roman" w:cs="Times New Roman"/>
          <w:sz w:val="26"/>
          <w:szCs w:val="26"/>
        </w:rPr>
      </w:pPr>
      <w:r w:rsidRPr="00506AF9">
        <w:rPr>
          <w:rFonts w:ascii="Times New Roman" w:hAnsi="Times New Roman" w:cs="Times New Roman"/>
          <w:sz w:val="26"/>
          <w:szCs w:val="26"/>
        </w:rPr>
        <w:t>Необходимо обозначить роль государства в качестве основного инвестора в отраслевые проекты, которые отличаются большой длительностью реализации и низкой доходностью, в том числе для целей ликвидации межтерриториального и перекрестного субсидирования</w:t>
      </w:r>
      <w:r w:rsidR="00506AF9">
        <w:rPr>
          <w:rFonts w:ascii="Times New Roman" w:hAnsi="Times New Roman" w:cs="Times New Roman"/>
          <w:sz w:val="26"/>
          <w:szCs w:val="26"/>
        </w:rPr>
        <w:t xml:space="preserve">. </w:t>
      </w:r>
      <w:r w:rsidRPr="00506AF9">
        <w:rPr>
          <w:rFonts w:ascii="Times New Roman" w:hAnsi="Times New Roman" w:cs="Times New Roman"/>
          <w:sz w:val="26"/>
          <w:szCs w:val="26"/>
        </w:rPr>
        <w:t>Одной из приоритетных задач Стратегии является стимулирование развития террит</w:t>
      </w:r>
      <w:r w:rsidRPr="00A01793">
        <w:rPr>
          <w:rFonts w:ascii="Times New Roman" w:hAnsi="Times New Roman" w:cs="Times New Roman"/>
          <w:sz w:val="26"/>
          <w:szCs w:val="26"/>
        </w:rPr>
        <w:t xml:space="preserve">ории Восточной Сибири и Дальнего Востока, как регионов с высоким экспортным потенциалом, за счет роста числа энергопромышленных комплексов. Для достижения поставленных задач на указанных территориях требуется строительство новых крупных генерирующих и сетевых объектов. При этом источники инвестиций для реализации поставленных целей в Стратегии не определены. На сегодняшний день в </w:t>
      </w:r>
      <w:r w:rsidR="00506AF9">
        <w:rPr>
          <w:rFonts w:ascii="Times New Roman" w:hAnsi="Times New Roman" w:cs="Times New Roman"/>
          <w:sz w:val="26"/>
          <w:szCs w:val="26"/>
        </w:rPr>
        <w:t xml:space="preserve">федеральных органах исполнительной власти </w:t>
      </w:r>
      <w:r w:rsidRPr="00A01793">
        <w:rPr>
          <w:rFonts w:ascii="Times New Roman" w:hAnsi="Times New Roman" w:cs="Times New Roman"/>
          <w:sz w:val="26"/>
          <w:szCs w:val="26"/>
        </w:rPr>
        <w:t xml:space="preserve">обсуждаются предложения по компенсации </w:t>
      </w:r>
      <w:proofErr w:type="spellStart"/>
      <w:r w:rsidRPr="00A01793">
        <w:rPr>
          <w:rFonts w:ascii="Times New Roman" w:hAnsi="Times New Roman" w:cs="Times New Roman"/>
          <w:sz w:val="26"/>
          <w:szCs w:val="26"/>
        </w:rPr>
        <w:t>инвест</w:t>
      </w:r>
      <w:proofErr w:type="gramStart"/>
      <w:r w:rsidR="00506AF9">
        <w:rPr>
          <w:rFonts w:ascii="Times New Roman" w:hAnsi="Times New Roman" w:cs="Times New Roman"/>
          <w:sz w:val="26"/>
          <w:szCs w:val="26"/>
        </w:rPr>
        <w:t>.</w:t>
      </w:r>
      <w:r w:rsidRPr="00A01793">
        <w:rPr>
          <w:rFonts w:ascii="Times New Roman" w:hAnsi="Times New Roman" w:cs="Times New Roman"/>
          <w:sz w:val="26"/>
          <w:szCs w:val="26"/>
        </w:rPr>
        <w:t>т</w:t>
      </w:r>
      <w:proofErr w:type="gramEnd"/>
      <w:r w:rsidRPr="00A01793">
        <w:rPr>
          <w:rFonts w:ascii="Times New Roman" w:hAnsi="Times New Roman" w:cs="Times New Roman"/>
          <w:sz w:val="26"/>
          <w:szCs w:val="26"/>
        </w:rPr>
        <w:t>арифа</w:t>
      </w:r>
      <w:proofErr w:type="spellEnd"/>
      <w:r w:rsidRPr="00A01793">
        <w:rPr>
          <w:rFonts w:ascii="Times New Roman" w:hAnsi="Times New Roman" w:cs="Times New Roman"/>
          <w:sz w:val="26"/>
          <w:szCs w:val="26"/>
        </w:rPr>
        <w:t xml:space="preserve"> для энергокомпаний, функционирующих на территории Дальнего Востока,  за счет роста цены в первой и второй ценовых зонах оптового рынка.  Введение данной нормы напрямую противоречит </w:t>
      </w:r>
      <w:r w:rsidR="00506AF9">
        <w:rPr>
          <w:rFonts w:ascii="Times New Roman" w:hAnsi="Times New Roman" w:cs="Times New Roman"/>
          <w:sz w:val="26"/>
          <w:szCs w:val="26"/>
        </w:rPr>
        <w:t xml:space="preserve">ЭС-2035 </w:t>
      </w:r>
      <w:r w:rsidRPr="00A01793">
        <w:rPr>
          <w:rFonts w:ascii="Times New Roman" w:hAnsi="Times New Roman" w:cs="Times New Roman"/>
          <w:sz w:val="26"/>
          <w:szCs w:val="26"/>
        </w:rPr>
        <w:t xml:space="preserve">в части ликвидации межтерриториального и перекрестного субсидирования в электроэнергетике, наличие которого в настоящий момент рассматривается в качестве </w:t>
      </w:r>
      <w:r w:rsidR="00506AF9">
        <w:rPr>
          <w:rFonts w:ascii="Times New Roman" w:hAnsi="Times New Roman" w:cs="Times New Roman"/>
          <w:sz w:val="26"/>
          <w:szCs w:val="26"/>
        </w:rPr>
        <w:t xml:space="preserve">одного из </w:t>
      </w:r>
      <w:r w:rsidRPr="00A01793">
        <w:rPr>
          <w:rFonts w:ascii="Times New Roman" w:hAnsi="Times New Roman" w:cs="Times New Roman"/>
          <w:sz w:val="26"/>
          <w:szCs w:val="26"/>
        </w:rPr>
        <w:t>фактор</w:t>
      </w:r>
      <w:r w:rsidR="00506AF9">
        <w:rPr>
          <w:rFonts w:ascii="Times New Roman" w:hAnsi="Times New Roman" w:cs="Times New Roman"/>
          <w:sz w:val="26"/>
          <w:szCs w:val="26"/>
        </w:rPr>
        <w:t>ов</w:t>
      </w:r>
      <w:r w:rsidRPr="00A01793">
        <w:rPr>
          <w:rFonts w:ascii="Times New Roman" w:hAnsi="Times New Roman" w:cs="Times New Roman"/>
          <w:sz w:val="26"/>
          <w:szCs w:val="26"/>
        </w:rPr>
        <w:t xml:space="preserve"> торможения промышленного роста в стране.</w:t>
      </w:r>
    </w:p>
    <w:p w:rsidR="00A01793" w:rsidRPr="00A01793" w:rsidRDefault="00A01793" w:rsidP="00A01793">
      <w:pPr>
        <w:spacing w:after="120" w:line="240" w:lineRule="auto"/>
        <w:ind w:firstLine="709"/>
        <w:jc w:val="both"/>
        <w:rPr>
          <w:rFonts w:ascii="Times New Roman" w:hAnsi="Times New Roman" w:cs="Times New Roman"/>
          <w:sz w:val="26"/>
          <w:szCs w:val="26"/>
        </w:rPr>
      </w:pPr>
      <w:r w:rsidRPr="00A01793">
        <w:rPr>
          <w:rFonts w:ascii="Times New Roman" w:hAnsi="Times New Roman" w:cs="Times New Roman"/>
          <w:sz w:val="26"/>
          <w:szCs w:val="26"/>
        </w:rPr>
        <w:t>Одним из ключевых показателей Стратегии является прогноз роста спроса на электроэнергию. Несмотря на озвученные в Стратегии планы по глобальной организации энергосбережения во всех секторах экономики, прогнозируется рост внутреннего потребления электроэнергии на 36 %. При этом прогнозирование потребления на долгосрочный период сопряжено с большим количеством неопределенностей и рисков. На сегодняшний день оплата порядка 20 ГВт избыточной мощности дополнительным финансовым бременем лежит на потребителях в связи с ошибкой прогноза роста спроса на электроэнергию, сделанн</w:t>
      </w:r>
      <w:r w:rsidR="00506AF9">
        <w:rPr>
          <w:rFonts w:ascii="Times New Roman" w:hAnsi="Times New Roman" w:cs="Times New Roman"/>
          <w:sz w:val="26"/>
          <w:szCs w:val="26"/>
        </w:rPr>
        <w:t xml:space="preserve">ого </w:t>
      </w:r>
      <w:r w:rsidRPr="00A01793">
        <w:rPr>
          <w:rFonts w:ascii="Times New Roman" w:hAnsi="Times New Roman" w:cs="Times New Roman"/>
          <w:sz w:val="26"/>
          <w:szCs w:val="26"/>
        </w:rPr>
        <w:t>в период реформирования электроэнергетики.</w:t>
      </w:r>
    </w:p>
    <w:p w:rsidR="00A01793" w:rsidRPr="00506AF9" w:rsidRDefault="00A01793" w:rsidP="00506AF9">
      <w:pPr>
        <w:spacing w:after="120" w:line="240" w:lineRule="auto"/>
        <w:ind w:firstLine="708"/>
        <w:jc w:val="both"/>
        <w:rPr>
          <w:rFonts w:ascii="Times New Roman" w:hAnsi="Times New Roman" w:cs="Times New Roman"/>
          <w:sz w:val="26"/>
          <w:szCs w:val="26"/>
        </w:rPr>
      </w:pPr>
      <w:r w:rsidRPr="00506AF9">
        <w:rPr>
          <w:rFonts w:ascii="Times New Roman" w:hAnsi="Times New Roman" w:cs="Times New Roman"/>
          <w:sz w:val="26"/>
          <w:szCs w:val="26"/>
        </w:rPr>
        <w:t>Негативная динамика состояния мировых рынков, наблюдаемая в последние месяцы, оказывает серь</w:t>
      </w:r>
      <w:r w:rsidR="00506AF9" w:rsidRPr="00506AF9">
        <w:rPr>
          <w:rFonts w:ascii="Times New Roman" w:hAnsi="Times New Roman" w:cs="Times New Roman"/>
          <w:sz w:val="26"/>
          <w:szCs w:val="26"/>
        </w:rPr>
        <w:t>е</w:t>
      </w:r>
      <w:r w:rsidRPr="00506AF9">
        <w:rPr>
          <w:rFonts w:ascii="Times New Roman" w:hAnsi="Times New Roman" w:cs="Times New Roman"/>
          <w:sz w:val="26"/>
          <w:szCs w:val="26"/>
        </w:rPr>
        <w:t>зное и долгосрочное влияние на состояние российской экономики, эти тенденции не были в полной мере учтены в Основных показателях базового прогноза Минэкономразвития (письмо от 10.06.2015 № 15339-АВ\</w:t>
      </w:r>
      <w:proofErr w:type="spellStart"/>
      <w:r w:rsidRPr="00506AF9">
        <w:rPr>
          <w:rFonts w:ascii="Times New Roman" w:hAnsi="Times New Roman" w:cs="Times New Roman"/>
          <w:sz w:val="26"/>
          <w:szCs w:val="26"/>
        </w:rPr>
        <w:t>ДОЗи</w:t>
      </w:r>
      <w:proofErr w:type="spellEnd"/>
      <w:r w:rsidRPr="00506AF9">
        <w:rPr>
          <w:rFonts w:ascii="Times New Roman" w:hAnsi="Times New Roman" w:cs="Times New Roman"/>
          <w:sz w:val="26"/>
          <w:szCs w:val="26"/>
        </w:rPr>
        <w:t xml:space="preserve">), используемого в ЭС-2035. В связи с этим основные положения ЭС-2035 могут стать несостоятельными уже в ближайшие год - два. </w:t>
      </w:r>
      <w:r w:rsidR="00506AF9">
        <w:rPr>
          <w:rFonts w:ascii="Times New Roman" w:hAnsi="Times New Roman" w:cs="Times New Roman"/>
          <w:sz w:val="26"/>
          <w:szCs w:val="26"/>
        </w:rPr>
        <w:t>Ц</w:t>
      </w:r>
      <w:r w:rsidRPr="00506AF9">
        <w:rPr>
          <w:rFonts w:ascii="Times New Roman" w:hAnsi="Times New Roman" w:cs="Times New Roman"/>
          <w:sz w:val="26"/>
          <w:szCs w:val="26"/>
        </w:rPr>
        <w:t>елесообразн</w:t>
      </w:r>
      <w:r w:rsidR="00506AF9">
        <w:rPr>
          <w:rFonts w:ascii="Times New Roman" w:hAnsi="Times New Roman" w:cs="Times New Roman"/>
          <w:sz w:val="26"/>
          <w:szCs w:val="26"/>
        </w:rPr>
        <w:t>о</w:t>
      </w:r>
      <w:r w:rsidRPr="00506AF9">
        <w:rPr>
          <w:rFonts w:ascii="Times New Roman" w:hAnsi="Times New Roman" w:cs="Times New Roman"/>
          <w:sz w:val="26"/>
          <w:szCs w:val="26"/>
        </w:rPr>
        <w:t xml:space="preserve"> предусмотреть в проекте ЭС-2035 возможность уч</w:t>
      </w:r>
      <w:r w:rsidR="00506AF9">
        <w:rPr>
          <w:rFonts w:ascii="Times New Roman" w:hAnsi="Times New Roman" w:cs="Times New Roman"/>
          <w:sz w:val="26"/>
          <w:szCs w:val="26"/>
        </w:rPr>
        <w:t>е</w:t>
      </w:r>
      <w:r w:rsidRPr="00506AF9">
        <w:rPr>
          <w:rFonts w:ascii="Times New Roman" w:hAnsi="Times New Roman" w:cs="Times New Roman"/>
          <w:sz w:val="26"/>
          <w:szCs w:val="26"/>
        </w:rPr>
        <w:t>та указанных изменений и корректировки ЭС-2035 в 2017-2018 годах.</w:t>
      </w:r>
    </w:p>
    <w:p w:rsidR="00A01793" w:rsidRPr="00A01793" w:rsidRDefault="00A01793" w:rsidP="00506AF9">
      <w:pPr>
        <w:spacing w:after="120" w:line="240" w:lineRule="auto"/>
        <w:ind w:firstLine="708"/>
        <w:jc w:val="both"/>
        <w:rPr>
          <w:rFonts w:ascii="Times New Roman" w:hAnsi="Times New Roman" w:cs="Times New Roman"/>
          <w:sz w:val="26"/>
          <w:szCs w:val="26"/>
        </w:rPr>
      </w:pPr>
      <w:r w:rsidRPr="00506AF9">
        <w:rPr>
          <w:rFonts w:ascii="Times New Roman" w:hAnsi="Times New Roman" w:cs="Times New Roman"/>
          <w:sz w:val="26"/>
          <w:szCs w:val="26"/>
        </w:rPr>
        <w:t xml:space="preserve">Предложенное в </w:t>
      </w:r>
      <w:r w:rsidR="00506AF9" w:rsidRPr="00506AF9">
        <w:rPr>
          <w:rFonts w:ascii="Times New Roman" w:hAnsi="Times New Roman" w:cs="Times New Roman"/>
          <w:sz w:val="26"/>
          <w:szCs w:val="26"/>
        </w:rPr>
        <w:t>проект</w:t>
      </w:r>
      <w:r w:rsidR="00790EC2">
        <w:rPr>
          <w:rFonts w:ascii="Times New Roman" w:hAnsi="Times New Roman" w:cs="Times New Roman"/>
          <w:sz w:val="26"/>
          <w:szCs w:val="26"/>
        </w:rPr>
        <w:t>е</w:t>
      </w:r>
      <w:r w:rsidR="00506AF9" w:rsidRPr="00506AF9">
        <w:rPr>
          <w:rFonts w:ascii="Times New Roman" w:hAnsi="Times New Roman" w:cs="Times New Roman"/>
          <w:sz w:val="26"/>
          <w:szCs w:val="26"/>
        </w:rPr>
        <w:t xml:space="preserve"> </w:t>
      </w:r>
      <w:r w:rsidRPr="00506AF9">
        <w:rPr>
          <w:rFonts w:ascii="Times New Roman" w:hAnsi="Times New Roman" w:cs="Times New Roman"/>
          <w:sz w:val="26"/>
          <w:szCs w:val="26"/>
        </w:rPr>
        <w:t xml:space="preserve">деление на этапы реализации ЭС-2035 не сбалансировано по срокам и наполнению. </w:t>
      </w:r>
      <w:r w:rsidRPr="00A01793">
        <w:rPr>
          <w:rFonts w:ascii="Times New Roman" w:hAnsi="Times New Roman" w:cs="Times New Roman"/>
          <w:sz w:val="26"/>
          <w:szCs w:val="26"/>
        </w:rPr>
        <w:t xml:space="preserve">Для первого, 4-летнего этапа реализации стратегии в период 2016 – 2020 гг. предлагается инертный подход, выполнение уже имеющихся планов и проектов, отсутствие новых инициатив и мероприятий и как результат - незначительное изменение целевых показателей относительно текущего </w:t>
      </w:r>
      <w:r w:rsidRPr="00A01793">
        <w:rPr>
          <w:rFonts w:ascii="Times New Roman" w:hAnsi="Times New Roman" w:cs="Times New Roman"/>
          <w:sz w:val="26"/>
          <w:szCs w:val="26"/>
        </w:rPr>
        <w:lastRenderedPageBreak/>
        <w:t>состояния. Гораздо более продуктивным этапом проекта ЭС-2035, согласно проекту, является второй, 15-летний этап е</w:t>
      </w:r>
      <w:r w:rsidR="00506AF9">
        <w:rPr>
          <w:rFonts w:ascii="Times New Roman" w:hAnsi="Times New Roman" w:cs="Times New Roman"/>
          <w:sz w:val="26"/>
          <w:szCs w:val="26"/>
        </w:rPr>
        <w:t>е</w:t>
      </w:r>
      <w:r w:rsidRPr="00A01793">
        <w:rPr>
          <w:rFonts w:ascii="Times New Roman" w:hAnsi="Times New Roman" w:cs="Times New Roman"/>
          <w:sz w:val="26"/>
          <w:szCs w:val="26"/>
        </w:rPr>
        <w:t xml:space="preserve"> реализации в период с 2020 по 2035 год. При этом динамика достижения целевых показателей стратегии имеет экспоненциальный характер, наиболее продуктивный период реализации ЭС-2035 - это пятилетка в период с 2030 по 2035 год. Но именно завершающий и наиболее продуктивный этап не наполнен содержанием и описанием механизмов достижения целевых показателей. Это</w:t>
      </w:r>
      <w:r w:rsidR="00506AF9">
        <w:rPr>
          <w:rFonts w:ascii="Times New Roman" w:hAnsi="Times New Roman" w:cs="Times New Roman"/>
          <w:sz w:val="26"/>
          <w:szCs w:val="26"/>
        </w:rPr>
        <w:t xml:space="preserve"> </w:t>
      </w:r>
      <w:r w:rsidRPr="00A01793">
        <w:rPr>
          <w:rFonts w:ascii="Times New Roman" w:hAnsi="Times New Roman" w:cs="Times New Roman"/>
          <w:sz w:val="26"/>
          <w:szCs w:val="26"/>
        </w:rPr>
        <w:t xml:space="preserve">снижает практическую ценность документа как для целей планирования стратегии развития предприятий ТЭК, так и с точки зрения реализации государственной политики в данной сфере. </w:t>
      </w:r>
      <w:r w:rsidR="00506AF9">
        <w:rPr>
          <w:rFonts w:ascii="Times New Roman" w:hAnsi="Times New Roman" w:cs="Times New Roman"/>
          <w:sz w:val="26"/>
          <w:szCs w:val="26"/>
        </w:rPr>
        <w:t>Ц</w:t>
      </w:r>
      <w:r w:rsidRPr="00A01793">
        <w:rPr>
          <w:rFonts w:ascii="Times New Roman" w:hAnsi="Times New Roman" w:cs="Times New Roman"/>
          <w:sz w:val="26"/>
          <w:szCs w:val="26"/>
        </w:rPr>
        <w:t>елесообразн</w:t>
      </w:r>
      <w:r w:rsidR="00506AF9">
        <w:rPr>
          <w:rFonts w:ascii="Times New Roman" w:hAnsi="Times New Roman" w:cs="Times New Roman"/>
          <w:sz w:val="26"/>
          <w:szCs w:val="26"/>
        </w:rPr>
        <w:t>о</w:t>
      </w:r>
      <w:r w:rsidRPr="00A01793">
        <w:rPr>
          <w:rFonts w:ascii="Times New Roman" w:hAnsi="Times New Roman" w:cs="Times New Roman"/>
          <w:sz w:val="26"/>
          <w:szCs w:val="26"/>
        </w:rPr>
        <w:t xml:space="preserve"> выделить дополнительный этап реализации стратегии в 2025 году, </w:t>
      </w:r>
      <w:r w:rsidR="00506AF9">
        <w:rPr>
          <w:rFonts w:ascii="Times New Roman" w:hAnsi="Times New Roman" w:cs="Times New Roman"/>
          <w:sz w:val="26"/>
          <w:szCs w:val="26"/>
        </w:rPr>
        <w:t xml:space="preserve">задать </w:t>
      </w:r>
      <w:r w:rsidRPr="00A01793">
        <w:rPr>
          <w:rFonts w:ascii="Times New Roman" w:hAnsi="Times New Roman" w:cs="Times New Roman"/>
          <w:sz w:val="26"/>
          <w:szCs w:val="26"/>
        </w:rPr>
        <w:t>показатели для этой отметки и конкретизировать мероприятия и механизмы их достижения.</w:t>
      </w:r>
    </w:p>
    <w:p w:rsidR="00655395" w:rsidRDefault="00A01793" w:rsidP="00A01793">
      <w:pPr>
        <w:spacing w:after="120" w:line="240" w:lineRule="auto"/>
        <w:ind w:firstLine="709"/>
        <w:jc w:val="both"/>
        <w:rPr>
          <w:rFonts w:ascii="Times New Roman" w:hAnsi="Times New Roman" w:cs="Times New Roman"/>
          <w:sz w:val="26"/>
          <w:szCs w:val="26"/>
        </w:rPr>
      </w:pPr>
      <w:r w:rsidRPr="00655395">
        <w:rPr>
          <w:rFonts w:ascii="Times New Roman" w:hAnsi="Times New Roman" w:cs="Times New Roman"/>
          <w:sz w:val="26"/>
          <w:szCs w:val="26"/>
        </w:rPr>
        <w:t>Первой стратегической инициативой в проекте ЭС-2035 является существенное повышение энергетической эффективности экономики и энергосбережения. Но в проекте ЭС</w:t>
      </w:r>
      <w:r w:rsidRPr="00655395">
        <w:rPr>
          <w:rFonts w:ascii="Times New Roman" w:hAnsi="Times New Roman" w:cs="Times New Roman"/>
          <w:sz w:val="26"/>
          <w:szCs w:val="26"/>
        </w:rPr>
        <w:noBreakHyphen/>
        <w:t>2035 отсутствует имеющаяся оценка потенциала повышения энергоэффективности в различных секторах экономики, что не позволяет учитывать указанную стратегическую инициативу в качестве приоритета</w:t>
      </w:r>
      <w:r w:rsidR="00D819EB">
        <w:rPr>
          <w:rFonts w:ascii="Times New Roman" w:hAnsi="Times New Roman" w:cs="Times New Roman"/>
          <w:sz w:val="26"/>
          <w:szCs w:val="26"/>
        </w:rPr>
        <w:t xml:space="preserve"> в других </w:t>
      </w:r>
      <w:r w:rsidRPr="00655395">
        <w:rPr>
          <w:rFonts w:ascii="Times New Roman" w:hAnsi="Times New Roman" w:cs="Times New Roman"/>
          <w:sz w:val="26"/>
          <w:szCs w:val="26"/>
        </w:rPr>
        <w:t>отра</w:t>
      </w:r>
      <w:r w:rsidR="00D819EB">
        <w:rPr>
          <w:rFonts w:ascii="Times New Roman" w:hAnsi="Times New Roman" w:cs="Times New Roman"/>
          <w:sz w:val="26"/>
          <w:szCs w:val="26"/>
        </w:rPr>
        <w:t>слевых и региональных документах</w:t>
      </w:r>
      <w:r w:rsidRPr="00655395">
        <w:rPr>
          <w:rFonts w:ascii="Times New Roman" w:hAnsi="Times New Roman" w:cs="Times New Roman"/>
          <w:sz w:val="26"/>
          <w:szCs w:val="26"/>
        </w:rPr>
        <w:t>.</w:t>
      </w:r>
      <w:r w:rsidR="00655395">
        <w:rPr>
          <w:rFonts w:ascii="Times New Roman" w:hAnsi="Times New Roman" w:cs="Times New Roman"/>
          <w:sz w:val="26"/>
          <w:szCs w:val="26"/>
        </w:rPr>
        <w:t xml:space="preserve"> </w:t>
      </w:r>
      <w:r w:rsidRPr="00A01793">
        <w:rPr>
          <w:rFonts w:ascii="Times New Roman" w:hAnsi="Times New Roman" w:cs="Times New Roman"/>
          <w:sz w:val="26"/>
          <w:szCs w:val="26"/>
        </w:rPr>
        <w:t xml:space="preserve">Так, наиболее существенным потенциалом экономии энергоресурсов в абсолютном выражении к 2020 году обладает электроэнергетика </w:t>
      </w:r>
      <w:r w:rsidR="000A6001">
        <w:rPr>
          <w:rFonts w:ascii="Times New Roman" w:hAnsi="Times New Roman" w:cs="Times New Roman"/>
          <w:sz w:val="26"/>
          <w:szCs w:val="26"/>
        </w:rPr>
        <w:t xml:space="preserve"> </w:t>
      </w:r>
      <w:r w:rsidRPr="00A01793">
        <w:rPr>
          <w:rFonts w:ascii="Times New Roman" w:hAnsi="Times New Roman" w:cs="Times New Roman"/>
          <w:sz w:val="26"/>
          <w:szCs w:val="26"/>
        </w:rPr>
        <w:t xml:space="preserve">(42 </w:t>
      </w:r>
      <w:proofErr w:type="gramStart"/>
      <w:r w:rsidRPr="00A01793">
        <w:rPr>
          <w:rFonts w:ascii="Times New Roman" w:hAnsi="Times New Roman" w:cs="Times New Roman"/>
          <w:sz w:val="26"/>
          <w:szCs w:val="26"/>
        </w:rPr>
        <w:t>млн</w:t>
      </w:r>
      <w:proofErr w:type="gramEnd"/>
      <w:r w:rsidRPr="00A01793">
        <w:rPr>
          <w:rFonts w:ascii="Times New Roman" w:hAnsi="Times New Roman" w:cs="Times New Roman"/>
          <w:sz w:val="26"/>
          <w:szCs w:val="26"/>
        </w:rPr>
        <w:t xml:space="preserve"> тут.), жилищная сфера (22 млн тут), бюджетная сфера и сфера услуг </w:t>
      </w:r>
      <w:r w:rsidR="000A6001">
        <w:rPr>
          <w:rFonts w:ascii="Times New Roman" w:hAnsi="Times New Roman" w:cs="Times New Roman"/>
          <w:sz w:val="26"/>
          <w:szCs w:val="26"/>
        </w:rPr>
        <w:t xml:space="preserve">            </w:t>
      </w:r>
      <w:r w:rsidRPr="00A01793">
        <w:rPr>
          <w:rFonts w:ascii="Times New Roman" w:hAnsi="Times New Roman" w:cs="Times New Roman"/>
          <w:sz w:val="26"/>
          <w:szCs w:val="26"/>
        </w:rPr>
        <w:t>(21 млн тут), использова</w:t>
      </w:r>
      <w:r w:rsidR="00D819EB">
        <w:rPr>
          <w:rFonts w:ascii="Times New Roman" w:hAnsi="Times New Roman" w:cs="Times New Roman"/>
          <w:sz w:val="26"/>
          <w:szCs w:val="26"/>
        </w:rPr>
        <w:t>ние углеводородов (21 млн тут).</w:t>
      </w:r>
    </w:p>
    <w:p w:rsidR="00A01793" w:rsidRDefault="00A01793" w:rsidP="00922DFA">
      <w:pPr>
        <w:spacing w:after="120" w:line="240" w:lineRule="auto"/>
        <w:ind w:firstLine="709"/>
        <w:jc w:val="both"/>
        <w:rPr>
          <w:rFonts w:ascii="Times New Roman" w:hAnsi="Times New Roman" w:cs="Times New Roman"/>
          <w:sz w:val="26"/>
          <w:szCs w:val="26"/>
        </w:rPr>
      </w:pPr>
      <w:r w:rsidRPr="00A01793">
        <w:rPr>
          <w:rFonts w:ascii="Times New Roman" w:hAnsi="Times New Roman" w:cs="Times New Roman"/>
          <w:sz w:val="26"/>
          <w:szCs w:val="26"/>
        </w:rPr>
        <w:t>В Э</w:t>
      </w:r>
      <w:r w:rsidR="00293781">
        <w:rPr>
          <w:rFonts w:ascii="Times New Roman" w:hAnsi="Times New Roman" w:cs="Times New Roman"/>
          <w:sz w:val="26"/>
          <w:szCs w:val="26"/>
        </w:rPr>
        <w:t xml:space="preserve">С-2035 </w:t>
      </w:r>
      <w:r w:rsidRPr="00A01793">
        <w:rPr>
          <w:rFonts w:ascii="Times New Roman" w:hAnsi="Times New Roman" w:cs="Times New Roman"/>
          <w:sz w:val="26"/>
          <w:szCs w:val="26"/>
        </w:rPr>
        <w:t>целесообразно отразить стратегическую задачу по развитию и стимулированию внедрения передовых технологий и инновационных технических решений, востребованных топливно-энергетическим комплексом, в том числе путем развития инфраструктуры инжиниринговых центров и отраслевых экспериментальных площадок.</w:t>
      </w:r>
      <w:r w:rsidR="00293781">
        <w:rPr>
          <w:rFonts w:ascii="Times New Roman" w:hAnsi="Times New Roman" w:cs="Times New Roman"/>
          <w:sz w:val="26"/>
          <w:szCs w:val="26"/>
        </w:rPr>
        <w:t xml:space="preserve"> </w:t>
      </w:r>
      <w:r w:rsidRPr="00A01793">
        <w:rPr>
          <w:rFonts w:ascii="Times New Roman" w:hAnsi="Times New Roman" w:cs="Times New Roman"/>
          <w:sz w:val="26"/>
          <w:szCs w:val="26"/>
        </w:rPr>
        <w:t xml:space="preserve">В целях совершенствования существующих механизмов внедрения инновационных технологий и современных материалов в ТЭК, предлагается развивать собственную отрасль прямых инвестиций в ТЭК, путем создания венчурных и отраслевых фондов с привлечением институтов развития, средств </w:t>
      </w:r>
      <w:r w:rsidRPr="00255F02">
        <w:rPr>
          <w:rFonts w:ascii="Times New Roman" w:hAnsi="Times New Roman" w:cs="Times New Roman"/>
          <w:color w:val="000000" w:themeColor="text1"/>
          <w:sz w:val="26"/>
          <w:szCs w:val="26"/>
        </w:rPr>
        <w:t>государственных и частных компаний и других институциональных инвесторов.</w:t>
      </w:r>
      <w:r w:rsidR="00293781" w:rsidRPr="00255F02">
        <w:rPr>
          <w:rFonts w:ascii="Times New Roman" w:hAnsi="Times New Roman" w:cs="Times New Roman"/>
          <w:color w:val="000000" w:themeColor="text1"/>
          <w:sz w:val="26"/>
          <w:szCs w:val="26"/>
        </w:rPr>
        <w:t xml:space="preserve"> </w:t>
      </w:r>
      <w:r w:rsidRPr="00255F02">
        <w:rPr>
          <w:rFonts w:ascii="Times New Roman" w:hAnsi="Times New Roman" w:cs="Times New Roman"/>
          <w:color w:val="000000" w:themeColor="text1"/>
          <w:sz w:val="26"/>
          <w:szCs w:val="26"/>
        </w:rPr>
        <w:t xml:space="preserve">Включение </w:t>
      </w:r>
      <w:r w:rsidR="00293781" w:rsidRPr="00255F02">
        <w:rPr>
          <w:rFonts w:ascii="Times New Roman" w:hAnsi="Times New Roman" w:cs="Times New Roman"/>
          <w:color w:val="000000" w:themeColor="text1"/>
          <w:sz w:val="26"/>
          <w:szCs w:val="26"/>
        </w:rPr>
        <w:t xml:space="preserve">таких </w:t>
      </w:r>
      <w:r w:rsidRPr="00255F02">
        <w:rPr>
          <w:rFonts w:ascii="Times New Roman" w:hAnsi="Times New Roman" w:cs="Times New Roman"/>
          <w:color w:val="000000" w:themeColor="text1"/>
          <w:sz w:val="26"/>
          <w:szCs w:val="26"/>
        </w:rPr>
        <w:t>мер в Э</w:t>
      </w:r>
      <w:r w:rsidR="00293781" w:rsidRPr="00255F02">
        <w:rPr>
          <w:rFonts w:ascii="Times New Roman" w:hAnsi="Times New Roman" w:cs="Times New Roman"/>
          <w:color w:val="000000" w:themeColor="text1"/>
          <w:sz w:val="26"/>
          <w:szCs w:val="26"/>
        </w:rPr>
        <w:t xml:space="preserve">С-2035 </w:t>
      </w:r>
      <w:r w:rsidRPr="00255F02">
        <w:rPr>
          <w:rFonts w:ascii="Times New Roman" w:hAnsi="Times New Roman" w:cs="Times New Roman"/>
          <w:color w:val="000000" w:themeColor="text1"/>
          <w:sz w:val="26"/>
          <w:szCs w:val="26"/>
        </w:rPr>
        <w:t xml:space="preserve">позволит обеспечить устойчивое развитие национальной инновационной системы в сфере энергетики и решение приоритетных государственных задач по модернизации и инновационному развитию энергетических компаний. </w:t>
      </w:r>
    </w:p>
    <w:p w:rsidR="00EB3159" w:rsidRPr="000D0466" w:rsidRDefault="00097772" w:rsidP="00EB3159">
      <w:pPr>
        <w:spacing w:after="120" w:line="240" w:lineRule="auto"/>
        <w:ind w:firstLine="709"/>
        <w:jc w:val="both"/>
        <w:rPr>
          <w:rFonts w:ascii="Times New Roman" w:hAnsi="Times New Roman" w:cs="Times New Roman"/>
          <w:color w:val="000000" w:themeColor="text1"/>
          <w:sz w:val="26"/>
          <w:szCs w:val="26"/>
        </w:rPr>
      </w:pPr>
      <w:proofErr w:type="gramStart"/>
      <w:r w:rsidRPr="00255F02">
        <w:rPr>
          <w:rFonts w:ascii="Times New Roman" w:hAnsi="Times New Roman" w:cs="Times New Roman"/>
          <w:color w:val="000000" w:themeColor="text1"/>
          <w:sz w:val="26"/>
          <w:szCs w:val="26"/>
        </w:rPr>
        <w:t xml:space="preserve">В условиях сложившейся в настоящее время конъюнктуры особого </w:t>
      </w:r>
      <w:r w:rsidR="005C0488" w:rsidRPr="00255F02">
        <w:rPr>
          <w:rFonts w:ascii="Times New Roman" w:hAnsi="Times New Roman" w:cs="Times New Roman"/>
          <w:color w:val="000000" w:themeColor="text1"/>
          <w:sz w:val="26"/>
          <w:szCs w:val="26"/>
        </w:rPr>
        <w:t xml:space="preserve">              </w:t>
      </w:r>
      <w:r w:rsidRPr="00255F02">
        <w:rPr>
          <w:rFonts w:ascii="Times New Roman" w:hAnsi="Times New Roman" w:cs="Times New Roman"/>
          <w:color w:val="000000" w:themeColor="text1"/>
          <w:sz w:val="26"/>
          <w:szCs w:val="26"/>
        </w:rPr>
        <w:t>внимания заслужива</w:t>
      </w:r>
      <w:r w:rsidR="00435104">
        <w:rPr>
          <w:rFonts w:ascii="Times New Roman" w:hAnsi="Times New Roman" w:cs="Times New Roman"/>
          <w:color w:val="000000" w:themeColor="text1"/>
          <w:sz w:val="26"/>
          <w:szCs w:val="26"/>
        </w:rPr>
        <w:t>ю</w:t>
      </w:r>
      <w:r w:rsidRPr="00255F02">
        <w:rPr>
          <w:rFonts w:ascii="Times New Roman" w:hAnsi="Times New Roman" w:cs="Times New Roman"/>
          <w:color w:val="000000" w:themeColor="text1"/>
          <w:sz w:val="26"/>
          <w:szCs w:val="26"/>
        </w:rPr>
        <w:t xml:space="preserve">т Программа стандартизации в нефтегазовом комплексе </w:t>
      </w:r>
      <w:r w:rsidR="005C0488" w:rsidRPr="00255F02">
        <w:rPr>
          <w:rFonts w:ascii="Times New Roman" w:hAnsi="Times New Roman" w:cs="Times New Roman"/>
          <w:color w:val="000000" w:themeColor="text1"/>
          <w:sz w:val="26"/>
          <w:szCs w:val="26"/>
        </w:rPr>
        <w:t xml:space="preserve">                      </w:t>
      </w:r>
      <w:r w:rsidRPr="00255F02">
        <w:rPr>
          <w:rFonts w:ascii="Times New Roman" w:hAnsi="Times New Roman" w:cs="Times New Roman"/>
          <w:color w:val="000000" w:themeColor="text1"/>
          <w:sz w:val="26"/>
          <w:szCs w:val="26"/>
        </w:rPr>
        <w:t xml:space="preserve">на период до 2020 г. и Программа по стандартизации в сфере </w:t>
      </w:r>
      <w:proofErr w:type="spellStart"/>
      <w:r w:rsidRPr="00255F02">
        <w:rPr>
          <w:rFonts w:ascii="Times New Roman" w:hAnsi="Times New Roman" w:cs="Times New Roman"/>
          <w:color w:val="000000" w:themeColor="text1"/>
          <w:sz w:val="26"/>
          <w:szCs w:val="26"/>
        </w:rPr>
        <w:t>импортозамещения</w:t>
      </w:r>
      <w:proofErr w:type="spellEnd"/>
      <w:r w:rsidRPr="00255F02">
        <w:rPr>
          <w:rFonts w:ascii="Times New Roman" w:hAnsi="Times New Roman" w:cs="Times New Roman"/>
          <w:color w:val="000000" w:themeColor="text1"/>
          <w:sz w:val="26"/>
          <w:szCs w:val="26"/>
        </w:rPr>
        <w:t>, реализация которых позволит повысить конкурентоспособность отечественной промышленной продукции, а также создать дополнительные возможности для ее доступа на зарубежные рынки.</w:t>
      </w:r>
      <w:proofErr w:type="gramEnd"/>
      <w:r w:rsidR="005C0488" w:rsidRPr="00255F02">
        <w:rPr>
          <w:rFonts w:ascii="Times New Roman" w:hAnsi="Times New Roman" w:cs="Times New Roman"/>
          <w:color w:val="000000" w:themeColor="text1"/>
          <w:sz w:val="26"/>
          <w:szCs w:val="26"/>
        </w:rPr>
        <w:t xml:space="preserve"> </w:t>
      </w:r>
      <w:r w:rsidRPr="00255F02">
        <w:rPr>
          <w:rFonts w:ascii="Times New Roman" w:hAnsi="Times New Roman" w:cs="Times New Roman"/>
          <w:color w:val="000000" w:themeColor="text1"/>
          <w:sz w:val="26"/>
          <w:szCs w:val="26"/>
        </w:rPr>
        <w:t>Проведение данных работ требует расширения участия компаний нефтегазового комплекса в разработке национальных, межгосударственных и международных стандартов.</w:t>
      </w:r>
      <w:r w:rsidR="00EB3159" w:rsidRPr="00EB3159">
        <w:rPr>
          <w:rFonts w:ascii="Times New Roman" w:hAnsi="Times New Roman" w:cs="Times New Roman"/>
          <w:color w:val="000000" w:themeColor="text1"/>
          <w:sz w:val="26"/>
          <w:szCs w:val="26"/>
        </w:rPr>
        <w:t xml:space="preserve"> </w:t>
      </w:r>
      <w:r w:rsidR="00EB3159" w:rsidRPr="000D0466">
        <w:rPr>
          <w:rFonts w:ascii="Times New Roman" w:hAnsi="Times New Roman" w:cs="Times New Roman"/>
          <w:color w:val="000000" w:themeColor="text1"/>
          <w:sz w:val="26"/>
          <w:szCs w:val="26"/>
        </w:rPr>
        <w:t>Одновременно необходимо дальнейшее качественное изменение структуры нормативн</w:t>
      </w:r>
      <w:r w:rsidR="00EB3159">
        <w:rPr>
          <w:rFonts w:ascii="Times New Roman" w:hAnsi="Times New Roman" w:cs="Times New Roman"/>
          <w:color w:val="000000" w:themeColor="text1"/>
          <w:sz w:val="26"/>
          <w:szCs w:val="26"/>
        </w:rPr>
        <w:t>ой технической базы ТЭК, при этом целесообразно установить индикатор обновления на уровне 8%.</w:t>
      </w:r>
      <w:r w:rsidR="00EB3159" w:rsidRPr="000D0466">
        <w:rPr>
          <w:rFonts w:ascii="Times New Roman" w:hAnsi="Times New Roman" w:cs="Times New Roman"/>
          <w:color w:val="000000" w:themeColor="text1"/>
          <w:sz w:val="26"/>
          <w:szCs w:val="26"/>
        </w:rPr>
        <w:t xml:space="preserve"> </w:t>
      </w:r>
    </w:p>
    <w:p w:rsidR="00097772" w:rsidRPr="00255F02" w:rsidRDefault="00097772" w:rsidP="00097772">
      <w:pPr>
        <w:spacing w:after="120" w:line="240" w:lineRule="auto"/>
        <w:ind w:firstLine="709"/>
        <w:jc w:val="both"/>
        <w:rPr>
          <w:rFonts w:ascii="Times New Roman" w:hAnsi="Times New Roman" w:cs="Times New Roman"/>
          <w:color w:val="000000" w:themeColor="text1"/>
          <w:sz w:val="26"/>
          <w:szCs w:val="26"/>
        </w:rPr>
      </w:pPr>
    </w:p>
    <w:p w:rsidR="000F4260" w:rsidRPr="000F4260" w:rsidRDefault="00A44E5D" w:rsidP="000F4260">
      <w:pPr>
        <w:pStyle w:val="1"/>
        <w:rPr>
          <w:rFonts w:ascii="Times New Roman" w:hAnsi="Times New Roman" w:cs="Times New Roman"/>
          <w:i/>
          <w:color w:val="1F497D" w:themeColor="text2"/>
          <w:sz w:val="26"/>
          <w:szCs w:val="26"/>
        </w:rPr>
      </w:pPr>
      <w:bookmarkStart w:id="3" w:name="_Toc431474218"/>
      <w:r w:rsidRPr="000F4260">
        <w:rPr>
          <w:rFonts w:ascii="Times New Roman" w:hAnsi="Times New Roman" w:cs="Times New Roman"/>
          <w:i/>
          <w:color w:val="1F497D" w:themeColor="text2"/>
          <w:sz w:val="26"/>
          <w:szCs w:val="26"/>
        </w:rPr>
        <w:lastRenderedPageBreak/>
        <w:t>Нефтяная отрасль</w:t>
      </w:r>
      <w:bookmarkEnd w:id="3"/>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 xml:space="preserve">Отсутствие системного подхода хорошо иллюстрирует выбор и порядок отраслевых задач в нефтяной отрасли. Очевидно, что указанные задачи должны отражать то, ради чего работает нефтяная промышленность (обеспечение внутреннего спроса на нефтепродукты надлежащего ассортимента и качества, наполнение государственного бюджета, создание мультипликативного эффекта для экономики путем осуществления заказов на оказание услуг и поставку оборудования и пр.). Но всего этого в ЭС-2035 нет. </w:t>
      </w:r>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 xml:space="preserve">Учитывая, что ЭС-2035 излагает государственное видение развития ТЭК, основанное, прежде всего, на его значении для общего развития экономики России, отсутствие ясной взаимосвязи между отраслевыми задачами и макроэкономической ролью нефтяной и газовой отраслей, следует признать существенным недостатком документа. </w:t>
      </w:r>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Предложенные задачи носят сугубо технический характер, отражая индикативные показатели, результирующие прогнозный баланс развития отрасли. При этом сам баланс не включен в ЭС-2035. Количественные показатели, предложенные в ЭС-2035, не имеют ясной связи с остальным текстом и существуют сами по себе.</w:t>
      </w:r>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 xml:space="preserve">В частности, в качестве первой задачи в ЭС-2035 выделена «стабильная ежегодная добыча нефти с газовым конденсатом на уровне 525 </w:t>
      </w:r>
      <w:proofErr w:type="gramStart"/>
      <w:r w:rsidRPr="00CE5135">
        <w:rPr>
          <w:rFonts w:ascii="Times New Roman" w:hAnsi="Times New Roman" w:cs="Times New Roman"/>
          <w:sz w:val="26"/>
          <w:szCs w:val="26"/>
        </w:rPr>
        <w:t>млн</w:t>
      </w:r>
      <w:proofErr w:type="gramEnd"/>
      <w:r w:rsidRPr="00CE5135">
        <w:rPr>
          <w:rFonts w:ascii="Times New Roman" w:hAnsi="Times New Roman" w:cs="Times New Roman"/>
          <w:sz w:val="26"/>
          <w:szCs w:val="26"/>
        </w:rPr>
        <w:t xml:space="preserve"> т с обеспечением возможности ее увеличения при благоприятной конъюнктуре мирового и внутреннего рынков». Не оспаривая саму задачу, нельзя не отметить, что из контекста ЭС-2035 неясно, почему для государства так важна стабилизация добычи жидких углеводородов и будет ли такая величина добычи экономически эффективной. Здесь хотелось бы видеть задачу, отражающую не только и, может быть, даже не столько количественную величину, сколько повышение эффективности и  долгосрочной устойчивости добычи нефти.</w:t>
      </w:r>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Не вполне ясно, как в ЭС-2035 планируется осуществлять задачу,  связанную с ростом экспорта жидких углеводородов, учитывая, что в документе намечена стабилизация добычи нефти и рост внутреннего потребления нефтепродуктов, что даже в условиях увеличения глубины переработки нефти с 72% до 90%, вряд ли позволяет нарастить суммарный экспорт нефти и нефтепродуктов.</w:t>
      </w:r>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На этом фоне в ЭС-2035 не нашли ясного отражения некоторые вопросы, принципиально значимые для развития нефтяной отрасли России:</w:t>
      </w:r>
    </w:p>
    <w:p w:rsidR="00A44E5D" w:rsidRPr="00B55B7E" w:rsidRDefault="00A44E5D" w:rsidP="00B55B7E">
      <w:pPr>
        <w:pStyle w:val="a5"/>
        <w:numPr>
          <w:ilvl w:val="0"/>
          <w:numId w:val="6"/>
        </w:numPr>
        <w:spacing w:after="120"/>
        <w:jc w:val="both"/>
        <w:rPr>
          <w:rFonts w:ascii="Times New Roman" w:hAnsi="Times New Roman" w:cs="Times New Roman"/>
          <w:sz w:val="26"/>
          <w:szCs w:val="26"/>
        </w:rPr>
      </w:pPr>
      <w:r w:rsidRPr="00B55B7E">
        <w:rPr>
          <w:rFonts w:ascii="Times New Roman" w:hAnsi="Times New Roman" w:cs="Times New Roman"/>
          <w:sz w:val="26"/>
          <w:szCs w:val="26"/>
        </w:rPr>
        <w:t>направления и механизмы восполнения минерально-сырьевой базы;</w:t>
      </w:r>
    </w:p>
    <w:p w:rsidR="00A44E5D" w:rsidRPr="00B55B7E" w:rsidRDefault="00A44E5D" w:rsidP="00B55B7E">
      <w:pPr>
        <w:pStyle w:val="a5"/>
        <w:numPr>
          <w:ilvl w:val="0"/>
          <w:numId w:val="6"/>
        </w:numPr>
        <w:spacing w:after="120"/>
        <w:jc w:val="both"/>
        <w:rPr>
          <w:rFonts w:ascii="Times New Roman" w:hAnsi="Times New Roman" w:cs="Times New Roman"/>
          <w:sz w:val="26"/>
          <w:szCs w:val="26"/>
        </w:rPr>
      </w:pPr>
      <w:r w:rsidRPr="00B55B7E">
        <w:rPr>
          <w:rFonts w:ascii="Times New Roman" w:hAnsi="Times New Roman" w:cs="Times New Roman"/>
          <w:sz w:val="26"/>
          <w:szCs w:val="26"/>
        </w:rPr>
        <w:t>перспективы расширения доступа отечественных нефтегазовых компаний к разведке и разработке ресурсов континентального шельфа России;</w:t>
      </w:r>
    </w:p>
    <w:p w:rsidR="00A44E5D" w:rsidRPr="00B55B7E" w:rsidRDefault="00A44E5D" w:rsidP="00B55B7E">
      <w:pPr>
        <w:pStyle w:val="a5"/>
        <w:numPr>
          <w:ilvl w:val="0"/>
          <w:numId w:val="6"/>
        </w:numPr>
        <w:spacing w:after="120"/>
        <w:jc w:val="both"/>
        <w:rPr>
          <w:rFonts w:ascii="Times New Roman" w:hAnsi="Times New Roman" w:cs="Times New Roman"/>
          <w:sz w:val="26"/>
          <w:szCs w:val="26"/>
        </w:rPr>
      </w:pPr>
      <w:r w:rsidRPr="00B55B7E">
        <w:rPr>
          <w:rFonts w:ascii="Times New Roman" w:hAnsi="Times New Roman" w:cs="Times New Roman"/>
          <w:sz w:val="26"/>
          <w:szCs w:val="26"/>
        </w:rPr>
        <w:t>влияние на перспективы развития отрасли снижения мировых цен на нефть, финансовых и технологических санкций зарубежных стран, и механизмы преодоления их возможных последствий;</w:t>
      </w:r>
    </w:p>
    <w:p w:rsidR="00A44E5D" w:rsidRPr="00B55B7E" w:rsidRDefault="00A44E5D" w:rsidP="00B55B7E">
      <w:pPr>
        <w:pStyle w:val="a5"/>
        <w:numPr>
          <w:ilvl w:val="0"/>
          <w:numId w:val="6"/>
        </w:numPr>
        <w:spacing w:after="120"/>
        <w:jc w:val="both"/>
        <w:rPr>
          <w:rFonts w:ascii="Times New Roman" w:hAnsi="Times New Roman" w:cs="Times New Roman"/>
          <w:sz w:val="26"/>
          <w:szCs w:val="26"/>
        </w:rPr>
      </w:pPr>
      <w:r w:rsidRPr="00B55B7E">
        <w:rPr>
          <w:rFonts w:ascii="Times New Roman" w:hAnsi="Times New Roman" w:cs="Times New Roman"/>
          <w:sz w:val="26"/>
          <w:szCs w:val="26"/>
        </w:rPr>
        <w:t>ожидаемые результаты «Большого налогового маневра», направления и сроки изменения его базовых параметров после 2017 года;</w:t>
      </w:r>
    </w:p>
    <w:p w:rsidR="00A44E5D" w:rsidRPr="00B55B7E" w:rsidRDefault="00A44E5D" w:rsidP="00B55B7E">
      <w:pPr>
        <w:pStyle w:val="a5"/>
        <w:numPr>
          <w:ilvl w:val="0"/>
          <w:numId w:val="6"/>
        </w:numPr>
        <w:spacing w:after="120"/>
        <w:jc w:val="both"/>
        <w:rPr>
          <w:rFonts w:ascii="Times New Roman" w:hAnsi="Times New Roman" w:cs="Times New Roman"/>
          <w:sz w:val="26"/>
          <w:szCs w:val="26"/>
        </w:rPr>
      </w:pPr>
      <w:proofErr w:type="gramStart"/>
      <w:r w:rsidRPr="00B55B7E">
        <w:rPr>
          <w:rFonts w:ascii="Times New Roman" w:hAnsi="Times New Roman" w:cs="Times New Roman"/>
          <w:sz w:val="26"/>
          <w:szCs w:val="26"/>
        </w:rPr>
        <w:t>целесообразность проведения пилотных проектов по использованию налогообложения добычи нефти на базе налога на дополнительных доход (НДД).</w:t>
      </w:r>
      <w:proofErr w:type="gramEnd"/>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lastRenderedPageBreak/>
        <w:t xml:space="preserve">Для нефтяных компаний особую угрозу представляют финансовые санкции стран, которые фактически закрыли доступ российских компаний к западному рынку капитала. Как следствие, в отрасли существует острейшая проблема поиска источников инвестиций, что отражается на </w:t>
      </w:r>
      <w:proofErr w:type="spellStart"/>
      <w:r w:rsidRPr="00CE5135">
        <w:rPr>
          <w:rFonts w:ascii="Times New Roman" w:hAnsi="Times New Roman" w:cs="Times New Roman"/>
          <w:sz w:val="26"/>
          <w:szCs w:val="26"/>
        </w:rPr>
        <w:t>инвестрограммах</w:t>
      </w:r>
      <w:proofErr w:type="spellEnd"/>
      <w:r w:rsidRPr="00CE5135">
        <w:rPr>
          <w:rFonts w:ascii="Times New Roman" w:hAnsi="Times New Roman" w:cs="Times New Roman"/>
          <w:sz w:val="26"/>
          <w:szCs w:val="26"/>
        </w:rPr>
        <w:t xml:space="preserve"> компаний, которые оптимизируют за счет отказа или переноса сроков реализации многих перспективных проектов в отрасли.</w:t>
      </w:r>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Секторальные технологические санкции, введенные в 2014 г. со стороны ЕС, США и ряда других развитых стран против нефтегазовой отрасли России, при их сохранении в среднесрочной перспективе и недостаточных масштабах работ в части импортозамещения по формированию собственных мощностей и технологий могут иметь существенные последствия для технологического развития российской нефтяной отрасли. Наибольшее количество импортного оборудования, затронутого санкциями, используется в добыче углеводородного сырья, особенно на континентальном шельфе, где зависимость от импорта превышает 80%.</w:t>
      </w:r>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Особую тревогу вызывает риск дальнейшего распространения таких санкций на конкретные нефтегазовые проекты на территории РФ (первый опыт применения таких «точечных» санкций – запрет США на поставки в Россию технологий и оборудования для разработки Южно-</w:t>
      </w:r>
      <w:proofErr w:type="spellStart"/>
      <w:r w:rsidRPr="00CE5135">
        <w:rPr>
          <w:rFonts w:ascii="Times New Roman" w:hAnsi="Times New Roman" w:cs="Times New Roman"/>
          <w:sz w:val="26"/>
          <w:szCs w:val="26"/>
        </w:rPr>
        <w:t>Киринского</w:t>
      </w:r>
      <w:proofErr w:type="spellEnd"/>
      <w:r w:rsidRPr="00CE5135">
        <w:rPr>
          <w:rFonts w:ascii="Times New Roman" w:hAnsi="Times New Roman" w:cs="Times New Roman"/>
          <w:sz w:val="26"/>
          <w:szCs w:val="26"/>
        </w:rPr>
        <w:t xml:space="preserve"> месторождения ОАО «Газпром»).</w:t>
      </w:r>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Падение цен на нефть и финансовые санкции формируют неблагоприятные условия для инвестиционной активности российских нефтегазовых компаний. Ожидается, что в валютном эквиваленте капиталовложения российских компаний в 2015 году, по сравнению с 2014 г. снизятся на 15-30% (в зависимости от компании).</w:t>
      </w:r>
    </w:p>
    <w:p w:rsidR="00A44E5D" w:rsidRPr="00CE5135" w:rsidRDefault="00A44E5D" w:rsidP="000F4260">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 xml:space="preserve">В целом в ЭС-2035 отсутствует целостное, сбалансированное видение долгосрочного развития государственной налоговой и таможенно-тарифной политики, как и других направлений государственного регулирования нефтяной отрасли, хотя именно изменение государственного регулирования является наиболее существенным и чувствительным вопросом государственного энергетического </w:t>
      </w:r>
      <w:proofErr w:type="spellStart"/>
      <w:r w:rsidRPr="00CE5135">
        <w:rPr>
          <w:rFonts w:ascii="Times New Roman" w:hAnsi="Times New Roman" w:cs="Times New Roman"/>
          <w:sz w:val="26"/>
          <w:szCs w:val="26"/>
        </w:rPr>
        <w:t>стратегировани</w:t>
      </w:r>
      <w:r w:rsidR="000F4260">
        <w:rPr>
          <w:rFonts w:ascii="Times New Roman" w:hAnsi="Times New Roman" w:cs="Times New Roman"/>
          <w:sz w:val="26"/>
          <w:szCs w:val="26"/>
        </w:rPr>
        <w:t>я</w:t>
      </w:r>
      <w:proofErr w:type="spellEnd"/>
      <w:r w:rsidR="000F4260">
        <w:rPr>
          <w:rFonts w:ascii="Times New Roman" w:hAnsi="Times New Roman" w:cs="Times New Roman"/>
          <w:sz w:val="26"/>
          <w:szCs w:val="26"/>
        </w:rPr>
        <w:t xml:space="preserve"> для хозяйствующих субъектов. </w:t>
      </w:r>
    </w:p>
    <w:p w:rsidR="000F4260" w:rsidRPr="000F4260" w:rsidRDefault="00A44E5D" w:rsidP="000F4260">
      <w:pPr>
        <w:pStyle w:val="1"/>
        <w:rPr>
          <w:rFonts w:ascii="Times New Roman" w:hAnsi="Times New Roman" w:cs="Times New Roman"/>
          <w:i/>
          <w:color w:val="1F497D" w:themeColor="text2"/>
          <w:sz w:val="26"/>
          <w:szCs w:val="26"/>
        </w:rPr>
      </w:pPr>
      <w:bookmarkStart w:id="4" w:name="_Toc431474219"/>
      <w:r w:rsidRPr="000F4260">
        <w:rPr>
          <w:rFonts w:ascii="Times New Roman" w:hAnsi="Times New Roman" w:cs="Times New Roman"/>
          <w:i/>
          <w:color w:val="1F497D" w:themeColor="text2"/>
          <w:sz w:val="26"/>
          <w:szCs w:val="26"/>
        </w:rPr>
        <w:t>Газовая отрасль</w:t>
      </w:r>
      <w:bookmarkEnd w:id="4"/>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По сравнению с нефтяной отраслью, целеполагание ЭС-2035 в части газовой отрасли выглядит более сбалансированным, однако и здесь предложенные задачи отражают не столько стратегию, сколько тактику развития отрасли.</w:t>
      </w:r>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Приведенные в ЭС-2035 количественные показатели развития газовой отрасли предусматривают ускоренный рост добычи, переработки и экспорта газа. Нельзя не отметить, что такое целеполагание, при всей своей правильности, вступает в явное противоречие с тенденциями и вызовами развития газовой отрасли, выявленными в самой ЭС-2035. При этом в ЭС-2035 отсутствует связующее звено между текущим положением вещей и поставленными задачами – вызовы, задачи и меры связаны между собой еще в меньшей степени, чем в нефтяной отрасли.</w:t>
      </w:r>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 xml:space="preserve">Основной проблемой текста ЭС-2035, посвященного газовой отрасли, является размытость и внутренняя противоречивость целевой модели отраслевого развития. С одной стороны, </w:t>
      </w:r>
      <w:proofErr w:type="gramStart"/>
      <w:r w:rsidRPr="00CE5135">
        <w:rPr>
          <w:rFonts w:ascii="Times New Roman" w:hAnsi="Times New Roman" w:cs="Times New Roman"/>
          <w:sz w:val="26"/>
          <w:szCs w:val="26"/>
        </w:rPr>
        <w:t>заявляется</w:t>
      </w:r>
      <w:proofErr w:type="gramEnd"/>
      <w:r w:rsidRPr="00CE5135">
        <w:rPr>
          <w:rFonts w:ascii="Times New Roman" w:hAnsi="Times New Roman" w:cs="Times New Roman"/>
          <w:sz w:val="26"/>
          <w:szCs w:val="26"/>
        </w:rPr>
        <w:t xml:space="preserve"> о «формировании конкурентного внутреннего рынка газа с перспективой полной его либерализации», с другой стороны, подчеркивается сохранение существующей полноты функций ПАО «Газпром». Это же характерно и </w:t>
      </w:r>
      <w:r w:rsidRPr="00CE5135">
        <w:rPr>
          <w:rFonts w:ascii="Times New Roman" w:hAnsi="Times New Roman" w:cs="Times New Roman"/>
          <w:sz w:val="26"/>
          <w:szCs w:val="26"/>
        </w:rPr>
        <w:lastRenderedPageBreak/>
        <w:t xml:space="preserve">для ценообразования: после 2020/2021 г. (на втором этапе реализации ЭС-2035) намечен «переход к рыночным механизмам ценообразования с дальнейшей внутренней либерализацией внутренних цен на газ», однако, что подразумевается под указанной либерализацией и какими мерами ее планируется проводить, далее не раскрывается. При этом подразумевается, что либерализация должна привести к заметному росту внутренних цен на газ, поскольку она призвана обеспечить «увеличение инвестиционных ресурсов нефтегазовых компаний, устранение диспропорций внутренних цен на основные виды топлива и развитие </w:t>
      </w:r>
      <w:proofErr w:type="spellStart"/>
      <w:r w:rsidRPr="00CE5135">
        <w:rPr>
          <w:rFonts w:ascii="Times New Roman" w:hAnsi="Times New Roman" w:cs="Times New Roman"/>
          <w:sz w:val="26"/>
          <w:szCs w:val="26"/>
        </w:rPr>
        <w:t>межтопливной</w:t>
      </w:r>
      <w:proofErr w:type="spellEnd"/>
      <w:r w:rsidRPr="00CE5135">
        <w:rPr>
          <w:rFonts w:ascii="Times New Roman" w:hAnsi="Times New Roman" w:cs="Times New Roman"/>
          <w:sz w:val="26"/>
          <w:szCs w:val="26"/>
        </w:rPr>
        <w:t xml:space="preserve"> конкуренции» (с. 20). Однако в условиях избыточных добывающих мощностей отмена регулирования цен, поставляемого ПАО «Газпром» и аффилированными с ним лицами, может привести к снижению как отпускных цен ПАО «Газпром», так и, как следствие, цен, формируемых на организованных торгах газом. Такой сценарий, очевидно, должен быть учтен в ЭС-2035.</w:t>
      </w:r>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 xml:space="preserve">Размытость целевой модели, по всей видимости, является следствием неопределенности в ЭС-2035 организационной конфигурации газовой отрасли: неясно, какие хозяйствующие субъекты (естественные монополии, ВИНК, независимые крупные газовые компании или малый и средний бизнес) должны, с точки зрения государства, обеспечить </w:t>
      </w:r>
      <w:proofErr w:type="gramStart"/>
      <w:r w:rsidRPr="00CE5135">
        <w:rPr>
          <w:rFonts w:ascii="Times New Roman" w:hAnsi="Times New Roman" w:cs="Times New Roman"/>
          <w:sz w:val="26"/>
          <w:szCs w:val="26"/>
        </w:rPr>
        <w:t>амбициозные</w:t>
      </w:r>
      <w:proofErr w:type="gramEnd"/>
      <w:r w:rsidRPr="00CE5135">
        <w:rPr>
          <w:rFonts w:ascii="Times New Roman" w:hAnsi="Times New Roman" w:cs="Times New Roman"/>
          <w:sz w:val="26"/>
          <w:szCs w:val="26"/>
        </w:rPr>
        <w:t xml:space="preserve"> задачи по увеличению добычи газа и его переработки внутри России. Как и в случае с нефтяной отраслью, ничего не говорится о роли иностранных компаний, в том числе подрядных, в разведке, добыче и переработке газа.</w:t>
      </w:r>
    </w:p>
    <w:p w:rsidR="00A44E5D" w:rsidRPr="00CE5135" w:rsidRDefault="00A44E5D" w:rsidP="00CE5135">
      <w:pPr>
        <w:spacing w:after="120" w:line="240" w:lineRule="auto"/>
        <w:ind w:firstLine="709"/>
        <w:jc w:val="both"/>
        <w:rPr>
          <w:rFonts w:ascii="Times New Roman" w:hAnsi="Times New Roman" w:cs="Times New Roman"/>
          <w:sz w:val="26"/>
          <w:szCs w:val="26"/>
        </w:rPr>
      </w:pPr>
      <w:proofErr w:type="gramStart"/>
      <w:r w:rsidRPr="00CE5135">
        <w:rPr>
          <w:rFonts w:ascii="Times New Roman" w:hAnsi="Times New Roman" w:cs="Times New Roman"/>
          <w:sz w:val="26"/>
          <w:szCs w:val="26"/>
        </w:rPr>
        <w:t xml:space="preserve">Из размытости целевой модели, в свою очередь, проистекает несбалансированная </w:t>
      </w:r>
      <w:proofErr w:type="spellStart"/>
      <w:r w:rsidRPr="00CE5135">
        <w:rPr>
          <w:rFonts w:ascii="Times New Roman" w:hAnsi="Times New Roman" w:cs="Times New Roman"/>
          <w:sz w:val="26"/>
          <w:szCs w:val="26"/>
        </w:rPr>
        <w:t>этапность</w:t>
      </w:r>
      <w:proofErr w:type="spellEnd"/>
      <w:r w:rsidRPr="00CE5135">
        <w:rPr>
          <w:rFonts w:ascii="Times New Roman" w:hAnsi="Times New Roman" w:cs="Times New Roman"/>
          <w:sz w:val="26"/>
          <w:szCs w:val="26"/>
        </w:rPr>
        <w:t xml:space="preserve"> развития отрасли.</w:t>
      </w:r>
      <w:proofErr w:type="gramEnd"/>
      <w:r w:rsidRPr="00CE5135">
        <w:rPr>
          <w:rFonts w:ascii="Times New Roman" w:hAnsi="Times New Roman" w:cs="Times New Roman"/>
          <w:sz w:val="26"/>
          <w:szCs w:val="26"/>
        </w:rPr>
        <w:t xml:space="preserve"> В частности, из контекста ЭС-2035 невозможно понять, почему столь актуальный вопрос, как предоставление доступа независимым поставщикам газа к единому каналу экспорта трубопроводного газа, отнесет только на второй этап реализации ЭС-2035.</w:t>
      </w:r>
    </w:p>
    <w:p w:rsidR="00A44E5D" w:rsidRPr="007828CD" w:rsidRDefault="00A44E5D" w:rsidP="000F4260">
      <w:pPr>
        <w:pStyle w:val="1"/>
        <w:rPr>
          <w:rFonts w:ascii="Times New Roman" w:hAnsi="Times New Roman" w:cs="Times New Roman"/>
          <w:i/>
          <w:color w:val="1F497D" w:themeColor="text2"/>
          <w:sz w:val="26"/>
          <w:szCs w:val="26"/>
        </w:rPr>
      </w:pPr>
      <w:bookmarkStart w:id="5" w:name="_Toc431474220"/>
      <w:r w:rsidRPr="007828CD">
        <w:rPr>
          <w:rFonts w:ascii="Times New Roman" w:hAnsi="Times New Roman" w:cs="Times New Roman"/>
          <w:i/>
          <w:color w:val="1F497D" w:themeColor="text2"/>
          <w:sz w:val="26"/>
          <w:szCs w:val="26"/>
        </w:rPr>
        <w:t>Электро- и теплоэнергетика</w:t>
      </w:r>
      <w:bookmarkEnd w:id="5"/>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Относительно наибольшее число замечаний вызывают разделы, посвященные электро- и теплоэнергетике. РСПП обобщил и представил в Министерство энергетики поступившие предложения с тем, чтобы еще раз оценить обоснованность беспокойства участников рынка.</w:t>
      </w:r>
    </w:p>
    <w:p w:rsidR="00506AF9" w:rsidRPr="00506AF9" w:rsidRDefault="00506AF9" w:rsidP="00506AF9">
      <w:pPr>
        <w:spacing w:after="120" w:line="240" w:lineRule="auto"/>
        <w:ind w:firstLine="709"/>
        <w:jc w:val="both"/>
        <w:rPr>
          <w:rFonts w:ascii="Times New Roman" w:hAnsi="Times New Roman" w:cs="Times New Roman"/>
          <w:sz w:val="26"/>
          <w:szCs w:val="26"/>
        </w:rPr>
      </w:pPr>
      <w:r w:rsidRPr="00506AF9">
        <w:rPr>
          <w:rFonts w:ascii="Times New Roman" w:hAnsi="Times New Roman" w:cs="Times New Roman"/>
          <w:sz w:val="26"/>
          <w:szCs w:val="26"/>
        </w:rPr>
        <w:t>Оценки и прогнозы темпов прироста энергопотребления в проекте Энергетической стратегии в среднесрочной перспективе явно завышены</w:t>
      </w:r>
      <w:r w:rsidR="003C36CB">
        <w:rPr>
          <w:rFonts w:ascii="Times New Roman" w:hAnsi="Times New Roman" w:cs="Times New Roman"/>
          <w:sz w:val="26"/>
          <w:szCs w:val="26"/>
        </w:rPr>
        <w:t xml:space="preserve"> (оптимистичны)</w:t>
      </w:r>
      <w:r w:rsidRPr="00506AF9">
        <w:rPr>
          <w:rFonts w:ascii="Times New Roman" w:hAnsi="Times New Roman" w:cs="Times New Roman"/>
          <w:sz w:val="26"/>
          <w:szCs w:val="26"/>
        </w:rPr>
        <w:t>, что может исказить потребность в новых генерирующих мощностях и модернизации существующих.</w:t>
      </w:r>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 xml:space="preserve">Проект Энергетической стратегии предусматривает переход к качественно новому укладу ТЭК со значительным снижением таких ключевых показателей как энергоемкость (на 37%) и электроемкость (на 28%) к 2035 году. Федеральный Закон              от 28 июня 2014 г. №172-ФЗ «О стратегическом планировании в Российской Федерации» предусматривает масштабное развитие индустриального сектора за счет развития отечественного тяжелого машиностроения и сельского хозяйства. В связи с чем, скорее всего, будет наблюдаться обратный тренд - рост энергоемкости и электроемкости экономики. Россия не идет по пути развития постиндустриального общества, как это делают страны Западной Европы, поэтому коэффициенты энергосбережения в России не могут совпадать с аналогичными показателями в </w:t>
      </w:r>
      <w:r w:rsidRPr="00CE5135">
        <w:rPr>
          <w:rFonts w:ascii="Times New Roman" w:hAnsi="Times New Roman" w:cs="Times New Roman"/>
          <w:sz w:val="26"/>
          <w:szCs w:val="26"/>
        </w:rPr>
        <w:lastRenderedPageBreak/>
        <w:t>Евросоюзе (к примеру, уровень энергоемкости и электроемкости США и Китая остается в несколько раз выше, чем в странах Западной Европы)</w:t>
      </w:r>
      <w:r w:rsidR="000F4260">
        <w:rPr>
          <w:rFonts w:ascii="Times New Roman" w:hAnsi="Times New Roman" w:cs="Times New Roman"/>
          <w:sz w:val="26"/>
          <w:szCs w:val="26"/>
        </w:rPr>
        <w:t>.</w:t>
      </w:r>
    </w:p>
    <w:p w:rsidR="00A01793" w:rsidRDefault="00A01793" w:rsidP="00A01793">
      <w:pPr>
        <w:spacing w:after="120" w:line="240" w:lineRule="auto"/>
        <w:ind w:firstLine="708"/>
        <w:jc w:val="both"/>
        <w:rPr>
          <w:rFonts w:ascii="Times New Roman" w:hAnsi="Times New Roman" w:cs="Times New Roman"/>
          <w:sz w:val="26"/>
          <w:szCs w:val="26"/>
        </w:rPr>
      </w:pPr>
      <w:r w:rsidRPr="00A01793">
        <w:rPr>
          <w:rFonts w:ascii="Times New Roman" w:hAnsi="Times New Roman" w:cs="Times New Roman"/>
          <w:sz w:val="26"/>
          <w:szCs w:val="26"/>
        </w:rPr>
        <w:t>В Стратегии должен быть четко определен структурный вектор  дальнейшего развития электроэнергетического комплекса в России: основа на централизованное или на локальное распределенное энергоснабжение. ЭС-2035 не дает четкого понимания приоритетов дальнейшего  развития электроэнергетического комплекса. Так, значительное внимание  уделено развитию распределенной генерации и ВИЭ. С другой стороны, из стратегии следует, что приоритетное развитие ТЭК должно быть обеспечено строительством крупных энергоблоков и магистральных сетей, в том числе для целей расширения ЕЭС России. При этом понимания, как планируется сочетать развитие распределенной генерации, ВИЭ и централизованной энергетики в условиях ограничения платежеспособного спроса в Стратегии не изложено.</w:t>
      </w:r>
    </w:p>
    <w:p w:rsidR="00506AF9" w:rsidRPr="00506AF9" w:rsidRDefault="00506AF9" w:rsidP="00CE5135">
      <w:pPr>
        <w:spacing w:after="120" w:line="240" w:lineRule="auto"/>
        <w:ind w:firstLine="709"/>
        <w:jc w:val="both"/>
        <w:rPr>
          <w:rFonts w:ascii="Times New Roman" w:hAnsi="Times New Roman" w:cs="Times New Roman"/>
          <w:sz w:val="26"/>
          <w:szCs w:val="26"/>
        </w:rPr>
      </w:pPr>
      <w:r w:rsidRPr="00506AF9">
        <w:rPr>
          <w:rFonts w:ascii="Times New Roman" w:hAnsi="Times New Roman" w:cs="Times New Roman"/>
          <w:sz w:val="26"/>
          <w:szCs w:val="26"/>
        </w:rPr>
        <w:t>В ЭС-2035 устанавливается существенное изменение баланса производства и потребления электрической энергии по источникам выработки с увеличением доли выработки АЭС и ВИЭ. Аргументация для таких изменений требует дополнительной проработки и обсуждения. В тексте не приводится анализ возможных рисков реализации данного подхода.</w:t>
      </w:r>
    </w:p>
    <w:p w:rsidR="00A44E5D" w:rsidRPr="00CE5135" w:rsidRDefault="00A44E5D" w:rsidP="00CE5135">
      <w:pPr>
        <w:spacing w:after="120" w:line="240" w:lineRule="auto"/>
        <w:ind w:firstLine="709"/>
        <w:jc w:val="both"/>
        <w:rPr>
          <w:rFonts w:ascii="Times New Roman" w:hAnsi="Times New Roman" w:cs="Times New Roman"/>
          <w:sz w:val="26"/>
          <w:szCs w:val="26"/>
        </w:rPr>
      </w:pPr>
      <w:proofErr w:type="gramStart"/>
      <w:r w:rsidRPr="00CE5135">
        <w:rPr>
          <w:rFonts w:ascii="Times New Roman" w:hAnsi="Times New Roman" w:cs="Times New Roman"/>
          <w:sz w:val="26"/>
          <w:szCs w:val="26"/>
        </w:rPr>
        <w:t>В первый период запланировано  неоправданное резкое наращивание объема выработки электроэнергии на ГЭС на 12% и АЭС на 7% на фоне пониженного прогноза роста спроса на электроэнергию до 4-5% к 2020 г. В тот же период производство электроэнергии на ТЭС запланировано на уровне 2015 г. (что на 5,6% ниже уровня 2012 г.) при сохранении взятых в процессе приватизации обязательств по ДПМ</w:t>
      </w:r>
      <w:proofErr w:type="gramEnd"/>
      <w:r w:rsidRPr="00CE5135">
        <w:rPr>
          <w:rFonts w:ascii="Times New Roman" w:hAnsi="Times New Roman" w:cs="Times New Roman"/>
          <w:sz w:val="26"/>
          <w:szCs w:val="26"/>
        </w:rPr>
        <w:t xml:space="preserve">. Реализация подобных планов приведет к резкому понижению КИУМ тепловых станций, использованию ТЭС в основном в режиме балансировки энергосистемы, что снизит эффективность загрузки оборудования, негативно отразится на ценах на электроэнергию, затруднит возврат инвестиций в новое строительство и понизит привлекательность отрасли для инвесторов. Не оправдан ввод новых блоков Ленинградской АЭС-2 ранее 2025 г., поскольку новая </w:t>
      </w:r>
      <w:proofErr w:type="spellStart"/>
      <w:r w:rsidRPr="00CE5135">
        <w:rPr>
          <w:rFonts w:ascii="Times New Roman" w:hAnsi="Times New Roman" w:cs="Times New Roman"/>
          <w:sz w:val="26"/>
          <w:szCs w:val="26"/>
        </w:rPr>
        <w:t>Киришская</w:t>
      </w:r>
      <w:proofErr w:type="spellEnd"/>
      <w:r w:rsidRPr="00CE5135">
        <w:rPr>
          <w:rFonts w:ascii="Times New Roman" w:hAnsi="Times New Roman" w:cs="Times New Roman"/>
          <w:sz w:val="26"/>
          <w:szCs w:val="26"/>
        </w:rPr>
        <w:t xml:space="preserve"> ГРЭС (ОГК-2), расположенная в том же </w:t>
      </w:r>
      <w:proofErr w:type="gramStart"/>
      <w:r w:rsidRPr="00CE5135">
        <w:rPr>
          <w:rFonts w:ascii="Times New Roman" w:hAnsi="Times New Roman" w:cs="Times New Roman"/>
          <w:sz w:val="26"/>
          <w:szCs w:val="26"/>
        </w:rPr>
        <w:t>регионе</w:t>
      </w:r>
      <w:proofErr w:type="gramEnd"/>
      <w:r w:rsidRPr="00CE5135">
        <w:rPr>
          <w:rFonts w:ascii="Times New Roman" w:hAnsi="Times New Roman" w:cs="Times New Roman"/>
          <w:sz w:val="26"/>
          <w:szCs w:val="26"/>
        </w:rPr>
        <w:t xml:space="preserve">, простаивает большую часть года из-за профицита мощностей в зоне свободного </w:t>
      </w:r>
      <w:proofErr w:type="spellStart"/>
      <w:r w:rsidRPr="00CE5135">
        <w:rPr>
          <w:rFonts w:ascii="Times New Roman" w:hAnsi="Times New Roman" w:cs="Times New Roman"/>
          <w:sz w:val="26"/>
          <w:szCs w:val="26"/>
        </w:rPr>
        <w:t>перетока</w:t>
      </w:r>
      <w:proofErr w:type="spellEnd"/>
      <w:r w:rsidRPr="00CE5135">
        <w:rPr>
          <w:rFonts w:ascii="Times New Roman" w:hAnsi="Times New Roman" w:cs="Times New Roman"/>
          <w:sz w:val="26"/>
          <w:szCs w:val="26"/>
        </w:rPr>
        <w:t xml:space="preserve"> «Северо-Запад». В условиях отсутствия системных решений по выводу АЭС ввод новых атомных станций до 2020</w:t>
      </w:r>
      <w:r w:rsidR="00655395">
        <w:rPr>
          <w:rFonts w:ascii="Times New Roman" w:hAnsi="Times New Roman" w:cs="Times New Roman"/>
          <w:sz w:val="26"/>
          <w:szCs w:val="26"/>
        </w:rPr>
        <w:t> </w:t>
      </w:r>
      <w:r w:rsidRPr="00CE5135">
        <w:rPr>
          <w:rFonts w:ascii="Times New Roman" w:hAnsi="Times New Roman" w:cs="Times New Roman"/>
          <w:sz w:val="26"/>
          <w:szCs w:val="26"/>
        </w:rPr>
        <w:t>г. ничем не обоснован. Необходимо прямо увязать сроки вводов со сроками выводов АЭС в первый период действия Энергетической стратегии.</w:t>
      </w:r>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Представляется целесообразным сохранить долю тепловой генерации в объеме выработки электроэнергии до 2020 г. и к 2035 г., поскольку прослеживается четкая корреляция между развитием топливных, транспортных и электроэнергетических компаний. Закрытие ряда тепловых станций приведет к мультипликативному эффекту, как, например, при выводе мощностей Череповецкой ГРЭС (ОГК-2) ряд угледобывающих компаний региона могут потерять не только обороты, но и бизнес в целом.</w:t>
      </w:r>
    </w:p>
    <w:p w:rsidR="00655395" w:rsidRDefault="00655395" w:rsidP="00655395">
      <w:pPr>
        <w:spacing w:after="120" w:line="240" w:lineRule="auto"/>
        <w:ind w:firstLine="709"/>
        <w:jc w:val="both"/>
        <w:rPr>
          <w:rFonts w:ascii="Times New Roman" w:hAnsi="Times New Roman" w:cs="Times New Roman"/>
          <w:sz w:val="26"/>
          <w:szCs w:val="26"/>
        </w:rPr>
      </w:pPr>
      <w:r w:rsidRPr="00655395">
        <w:rPr>
          <w:rFonts w:ascii="Times New Roman" w:hAnsi="Times New Roman" w:cs="Times New Roman"/>
          <w:sz w:val="26"/>
          <w:szCs w:val="26"/>
        </w:rPr>
        <w:t>Ключевым и, фактически, единственным мероприятием, предлагаемым в проекте ЭС</w:t>
      </w:r>
      <w:r w:rsidRPr="00655395">
        <w:rPr>
          <w:rFonts w:ascii="Times New Roman" w:hAnsi="Times New Roman" w:cs="Times New Roman"/>
          <w:sz w:val="26"/>
          <w:szCs w:val="26"/>
        </w:rPr>
        <w:noBreakHyphen/>
        <w:t xml:space="preserve">2035 для совершенствования тарифного регулирования и ценообразования в сфере теплоснабжения, является переход к установлению предельного уровня цены на тепловую энергию с применением метода «альтернативной котельной» с использованием формулы, включающей технико-экономические параметры альтернативной котельной с учетом региональных </w:t>
      </w:r>
      <w:r w:rsidRPr="00655395">
        <w:rPr>
          <w:rFonts w:ascii="Times New Roman" w:hAnsi="Times New Roman" w:cs="Times New Roman"/>
          <w:sz w:val="26"/>
          <w:szCs w:val="26"/>
        </w:rPr>
        <w:lastRenderedPageBreak/>
        <w:t>особенностей.</w:t>
      </w:r>
      <w:r>
        <w:rPr>
          <w:rFonts w:ascii="Times New Roman" w:hAnsi="Times New Roman" w:cs="Times New Roman"/>
          <w:sz w:val="26"/>
          <w:szCs w:val="26"/>
        </w:rPr>
        <w:t xml:space="preserve"> </w:t>
      </w:r>
      <w:r w:rsidRPr="00655395">
        <w:rPr>
          <w:rFonts w:ascii="Times New Roman" w:hAnsi="Times New Roman" w:cs="Times New Roman"/>
          <w:sz w:val="26"/>
          <w:szCs w:val="26"/>
        </w:rPr>
        <w:t xml:space="preserve">Методология ценообразования на основе полных затрат на новое строительство теплоисточника смещает баланс интересов от потребителя в пользу производителя тепла.  При этом использование расчета затрат на базе одной технологии (котельная) с более низким КПД предлагается использовать для установления цены для объектов </w:t>
      </w:r>
      <w:proofErr w:type="spellStart"/>
      <w:r w:rsidRPr="00655395">
        <w:rPr>
          <w:rFonts w:ascii="Times New Roman" w:hAnsi="Times New Roman" w:cs="Times New Roman"/>
          <w:sz w:val="26"/>
          <w:szCs w:val="26"/>
        </w:rPr>
        <w:t>когенерации</w:t>
      </w:r>
      <w:proofErr w:type="spellEnd"/>
      <w:r w:rsidRPr="00655395">
        <w:rPr>
          <w:rFonts w:ascii="Times New Roman" w:hAnsi="Times New Roman" w:cs="Times New Roman"/>
          <w:sz w:val="26"/>
          <w:szCs w:val="26"/>
        </w:rPr>
        <w:t xml:space="preserve">, где КПД в 1,5 – 2 раза выше, а издержки на производство тепла существенно ниже. Таким образом, ценообразование по методу «альтернативной котельной» для объектов </w:t>
      </w:r>
      <w:proofErr w:type="spellStart"/>
      <w:r w:rsidRPr="00655395">
        <w:rPr>
          <w:rFonts w:ascii="Times New Roman" w:hAnsi="Times New Roman" w:cs="Times New Roman"/>
          <w:sz w:val="26"/>
          <w:szCs w:val="26"/>
        </w:rPr>
        <w:t>когенерации</w:t>
      </w:r>
      <w:proofErr w:type="spellEnd"/>
      <w:r w:rsidRPr="00655395">
        <w:rPr>
          <w:rFonts w:ascii="Times New Roman" w:hAnsi="Times New Roman" w:cs="Times New Roman"/>
          <w:sz w:val="26"/>
          <w:szCs w:val="26"/>
        </w:rPr>
        <w:t xml:space="preserve"> будет способствовать получению дополнительной доходности.</w:t>
      </w:r>
    </w:p>
    <w:p w:rsidR="00655395" w:rsidRPr="00655395" w:rsidRDefault="00655395" w:rsidP="00655395">
      <w:pPr>
        <w:spacing w:after="120" w:line="240" w:lineRule="auto"/>
        <w:ind w:firstLine="709"/>
        <w:jc w:val="both"/>
        <w:rPr>
          <w:rFonts w:ascii="Times New Roman" w:hAnsi="Times New Roman" w:cs="Times New Roman"/>
          <w:sz w:val="26"/>
          <w:szCs w:val="26"/>
        </w:rPr>
      </w:pPr>
      <w:r w:rsidRPr="00655395">
        <w:rPr>
          <w:rFonts w:ascii="Times New Roman" w:hAnsi="Times New Roman" w:cs="Times New Roman"/>
          <w:sz w:val="26"/>
          <w:szCs w:val="26"/>
        </w:rPr>
        <w:t xml:space="preserve">Создание на локальных рынках тепла единых теплоснабжающих организаций (ЕТО), предлагаемое в рамках изменения модели </w:t>
      </w:r>
      <w:proofErr w:type="spellStart"/>
      <w:r w:rsidRPr="00655395">
        <w:rPr>
          <w:rFonts w:ascii="Times New Roman" w:hAnsi="Times New Roman" w:cs="Times New Roman"/>
          <w:sz w:val="26"/>
          <w:szCs w:val="26"/>
        </w:rPr>
        <w:t>тарифообразования</w:t>
      </w:r>
      <w:proofErr w:type="spellEnd"/>
      <w:r w:rsidRPr="00655395">
        <w:rPr>
          <w:rFonts w:ascii="Times New Roman" w:hAnsi="Times New Roman" w:cs="Times New Roman"/>
          <w:sz w:val="26"/>
          <w:szCs w:val="26"/>
        </w:rPr>
        <w:t xml:space="preserve"> в теплоснабжении, созда</w:t>
      </w:r>
      <w:r>
        <w:rPr>
          <w:rFonts w:ascii="Times New Roman" w:hAnsi="Times New Roman" w:cs="Times New Roman"/>
          <w:sz w:val="26"/>
          <w:szCs w:val="26"/>
        </w:rPr>
        <w:t>е</w:t>
      </w:r>
      <w:r w:rsidRPr="00655395">
        <w:rPr>
          <w:rFonts w:ascii="Times New Roman" w:hAnsi="Times New Roman" w:cs="Times New Roman"/>
          <w:sz w:val="26"/>
          <w:szCs w:val="26"/>
        </w:rPr>
        <w:t>т угрозу монополизации теплоснабжения, т</w:t>
      </w:r>
      <w:r>
        <w:rPr>
          <w:rFonts w:ascii="Times New Roman" w:hAnsi="Times New Roman" w:cs="Times New Roman"/>
          <w:sz w:val="26"/>
          <w:szCs w:val="26"/>
        </w:rPr>
        <w:t xml:space="preserve">ак </w:t>
      </w:r>
      <w:r w:rsidRPr="00655395">
        <w:rPr>
          <w:rFonts w:ascii="Times New Roman" w:hAnsi="Times New Roman" w:cs="Times New Roman"/>
          <w:sz w:val="26"/>
          <w:szCs w:val="26"/>
        </w:rPr>
        <w:t>к</w:t>
      </w:r>
      <w:r>
        <w:rPr>
          <w:rFonts w:ascii="Times New Roman" w:hAnsi="Times New Roman" w:cs="Times New Roman"/>
          <w:sz w:val="26"/>
          <w:szCs w:val="26"/>
        </w:rPr>
        <w:t>ак</w:t>
      </w:r>
      <w:r w:rsidRPr="00655395">
        <w:rPr>
          <w:rFonts w:ascii="Times New Roman" w:hAnsi="Times New Roman" w:cs="Times New Roman"/>
          <w:sz w:val="26"/>
          <w:szCs w:val="26"/>
        </w:rPr>
        <w:t xml:space="preserve"> конкурирующие небольшие эффективные производители тепла будут выдавлены из централизованной системы (прекратят работу или изолируют своих потребителей) и в итоге перестанут влиять на ценообразование. </w:t>
      </w:r>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 xml:space="preserve">С учетом климатических особенностей России необходимо дополнительно обосновать целесообразность масштабного ввода ВИЭ (в 9-14 раз), конкурентоспособность которой находится под вопросом. Более того, использование ВИЭ без соответствующего объема накопителей неэффективно </w:t>
      </w:r>
      <w:proofErr w:type="gramStart"/>
      <w:r w:rsidRPr="00CE5135">
        <w:rPr>
          <w:rFonts w:ascii="Times New Roman" w:hAnsi="Times New Roman" w:cs="Times New Roman"/>
          <w:sz w:val="26"/>
          <w:szCs w:val="26"/>
        </w:rPr>
        <w:t>из-за</w:t>
      </w:r>
      <w:proofErr w:type="gramEnd"/>
      <w:r w:rsidRPr="00CE5135">
        <w:rPr>
          <w:rFonts w:ascii="Times New Roman" w:hAnsi="Times New Roman" w:cs="Times New Roman"/>
          <w:sz w:val="26"/>
          <w:szCs w:val="26"/>
        </w:rPr>
        <w:t xml:space="preserve"> низкого КИУМ (10-25%). Данные опасения подтверждаются в проекте Стратегии, что приведет в конечном итоге к перераспределению инвестиций между секторами: «Объем капиталовложений в возобновляемые источники энергии итогового периода прогнозируется в 5-7 раз выше базового уровня. При этом доля возобновляемых источников энергии в общем объеме капиталовложений в сферы энергоснабжения увеличится с 4% до 10-12%». ВИЭ развивается в странах с дефицитом природных ресурсов и благоприятными климатическими условиями для ветровой и солнечной генерации. </w:t>
      </w:r>
    </w:p>
    <w:p w:rsidR="00A44E5D" w:rsidRPr="00CE5135" w:rsidRDefault="00A44E5D" w:rsidP="00CE5135">
      <w:pPr>
        <w:spacing w:after="120" w:line="240" w:lineRule="auto"/>
        <w:ind w:firstLine="709"/>
        <w:jc w:val="both"/>
        <w:rPr>
          <w:rFonts w:ascii="Times New Roman" w:hAnsi="Times New Roman" w:cs="Times New Roman"/>
          <w:sz w:val="26"/>
          <w:szCs w:val="26"/>
        </w:rPr>
      </w:pPr>
      <w:proofErr w:type="gramStart"/>
      <w:r w:rsidRPr="00CE5135">
        <w:rPr>
          <w:rFonts w:ascii="Times New Roman" w:hAnsi="Times New Roman" w:cs="Times New Roman"/>
          <w:sz w:val="26"/>
          <w:szCs w:val="26"/>
        </w:rPr>
        <w:t xml:space="preserve">Проект </w:t>
      </w:r>
      <w:proofErr w:type="spellStart"/>
      <w:r w:rsidRPr="00CE5135">
        <w:rPr>
          <w:rFonts w:ascii="Times New Roman" w:hAnsi="Times New Roman" w:cs="Times New Roman"/>
          <w:sz w:val="26"/>
          <w:szCs w:val="26"/>
        </w:rPr>
        <w:t>Энергостратегии</w:t>
      </w:r>
      <w:proofErr w:type="spellEnd"/>
      <w:r w:rsidRPr="00CE5135">
        <w:rPr>
          <w:rFonts w:ascii="Times New Roman" w:hAnsi="Times New Roman" w:cs="Times New Roman"/>
          <w:sz w:val="26"/>
          <w:szCs w:val="26"/>
        </w:rPr>
        <w:t xml:space="preserve"> предусматривает, что «…В электроэнергетике объем необходимых капиталовложений итогового периода превысит базовый уровень более чем на 50%. При этом в структуре капиталовложений в электроэнергетику доля ТЭС увеличится на 3-5 </w:t>
      </w:r>
      <w:proofErr w:type="spellStart"/>
      <w:r w:rsidRPr="00CE5135">
        <w:rPr>
          <w:rFonts w:ascii="Times New Roman" w:hAnsi="Times New Roman" w:cs="Times New Roman"/>
          <w:sz w:val="26"/>
          <w:szCs w:val="26"/>
        </w:rPr>
        <w:t>п.п</w:t>
      </w:r>
      <w:proofErr w:type="spellEnd"/>
      <w:r w:rsidRPr="00CE5135">
        <w:rPr>
          <w:rFonts w:ascii="Times New Roman" w:hAnsi="Times New Roman" w:cs="Times New Roman"/>
          <w:sz w:val="26"/>
          <w:szCs w:val="26"/>
        </w:rPr>
        <w:t xml:space="preserve">. (с 33 до 35-37%), доля АЭС вырастет на 2-5 </w:t>
      </w:r>
      <w:proofErr w:type="spellStart"/>
      <w:r w:rsidRPr="00CE5135">
        <w:rPr>
          <w:rFonts w:ascii="Times New Roman" w:hAnsi="Times New Roman" w:cs="Times New Roman"/>
          <w:sz w:val="26"/>
          <w:szCs w:val="26"/>
        </w:rPr>
        <w:t>п.п</w:t>
      </w:r>
      <w:proofErr w:type="spellEnd"/>
      <w:r w:rsidRPr="00CE5135">
        <w:rPr>
          <w:rFonts w:ascii="Times New Roman" w:hAnsi="Times New Roman" w:cs="Times New Roman"/>
          <w:sz w:val="26"/>
          <w:szCs w:val="26"/>
        </w:rPr>
        <w:t xml:space="preserve">., доля ГЭС и НВИЭ не изменится, а доля сетей сократится на 6 </w:t>
      </w:r>
      <w:proofErr w:type="spellStart"/>
      <w:r w:rsidRPr="00CE5135">
        <w:rPr>
          <w:rFonts w:ascii="Times New Roman" w:hAnsi="Times New Roman" w:cs="Times New Roman"/>
          <w:sz w:val="26"/>
          <w:szCs w:val="26"/>
        </w:rPr>
        <w:t>п.п</w:t>
      </w:r>
      <w:proofErr w:type="spellEnd"/>
      <w:r w:rsidRPr="00CE5135">
        <w:rPr>
          <w:rFonts w:ascii="Times New Roman" w:hAnsi="Times New Roman" w:cs="Times New Roman"/>
          <w:sz w:val="26"/>
          <w:szCs w:val="26"/>
        </w:rPr>
        <w:t>.» Сокращение доли сетей</w:t>
      </w:r>
      <w:proofErr w:type="gramEnd"/>
      <w:r w:rsidRPr="00CE5135">
        <w:rPr>
          <w:rFonts w:ascii="Times New Roman" w:hAnsi="Times New Roman" w:cs="Times New Roman"/>
          <w:sz w:val="26"/>
          <w:szCs w:val="26"/>
        </w:rPr>
        <w:t xml:space="preserve"> в объеме капитальных затрат могло бы быть еще больше, учитывая текущий уровень капитальных затрат и долю сетевой составляющей в цене на электроэнергии.</w:t>
      </w:r>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 xml:space="preserve">Вопросы модернизации теплоэнергетики в проекте Стратегии не нашли комплексного и всестороннего отражения. Отсутствует анализ текущего состояния парка </w:t>
      </w:r>
      <w:proofErr w:type="spellStart"/>
      <w:r w:rsidRPr="00CE5135">
        <w:rPr>
          <w:rFonts w:ascii="Times New Roman" w:hAnsi="Times New Roman" w:cs="Times New Roman"/>
          <w:sz w:val="26"/>
          <w:szCs w:val="26"/>
        </w:rPr>
        <w:t>энергооборудования</w:t>
      </w:r>
      <w:proofErr w:type="spellEnd"/>
      <w:r w:rsidRPr="00CE5135">
        <w:rPr>
          <w:rFonts w:ascii="Times New Roman" w:hAnsi="Times New Roman" w:cs="Times New Roman"/>
          <w:sz w:val="26"/>
          <w:szCs w:val="26"/>
        </w:rPr>
        <w:t xml:space="preserve"> и перспектив его изменения в горизонте планирования. В настоящее время и в среднесрочной перспективе рыночная ситуация не дает возможности проведения полноценной модернизации и реновации генерирующего оборудования, ЭС-2035 не содержит конкретных мероприятий, направленных на улучшение сложившейся ситуации.</w:t>
      </w:r>
    </w:p>
    <w:p w:rsidR="00A44E5D" w:rsidRPr="00CE5135" w:rsidRDefault="00A44E5D" w:rsidP="00CE5135">
      <w:pPr>
        <w:spacing w:after="120" w:line="240" w:lineRule="auto"/>
        <w:ind w:firstLine="709"/>
        <w:jc w:val="both"/>
        <w:rPr>
          <w:rFonts w:ascii="Times New Roman" w:hAnsi="Times New Roman" w:cs="Times New Roman"/>
          <w:sz w:val="26"/>
          <w:szCs w:val="26"/>
        </w:rPr>
      </w:pPr>
      <w:proofErr w:type="gramStart"/>
      <w:r w:rsidRPr="00CE5135">
        <w:rPr>
          <w:rFonts w:ascii="Times New Roman" w:hAnsi="Times New Roman" w:cs="Times New Roman"/>
          <w:sz w:val="26"/>
          <w:szCs w:val="26"/>
        </w:rPr>
        <w:t>ЭС-2035 не содержит мер по исполнению требования Федерального закона от 27.07.2010 № 190-ФЗ «О теплоэнергетике»  в части  полного  запрета  открытых систем теплоснабжения (горячего водоснабжения) с 1 января 2022 года путем запрета подключения (технологического присоединения) объектов капитального строительства потребителей к  таким  системам для нужд горячего водоснабжения, осуществляемого путем отбора  теплоносителя на нужды горячего водоснабжения.</w:t>
      </w:r>
      <w:proofErr w:type="gramEnd"/>
      <w:r w:rsidRPr="00CE5135">
        <w:rPr>
          <w:rFonts w:ascii="Times New Roman" w:hAnsi="Times New Roman" w:cs="Times New Roman"/>
          <w:sz w:val="26"/>
          <w:szCs w:val="26"/>
        </w:rPr>
        <w:t xml:space="preserve"> </w:t>
      </w:r>
      <w:r w:rsidRPr="00CE5135">
        <w:rPr>
          <w:rFonts w:ascii="Times New Roman" w:hAnsi="Times New Roman" w:cs="Times New Roman"/>
          <w:sz w:val="26"/>
          <w:szCs w:val="26"/>
        </w:rPr>
        <w:lastRenderedPageBreak/>
        <w:t xml:space="preserve">Соответственно, не определены источники финансирования по переводу  </w:t>
      </w:r>
      <w:proofErr w:type="gramStart"/>
      <w:r w:rsidRPr="00CE5135">
        <w:rPr>
          <w:rFonts w:ascii="Times New Roman" w:hAnsi="Times New Roman" w:cs="Times New Roman"/>
          <w:sz w:val="26"/>
          <w:szCs w:val="26"/>
        </w:rPr>
        <w:t>существующих</w:t>
      </w:r>
      <w:proofErr w:type="gramEnd"/>
      <w:r w:rsidRPr="00CE5135">
        <w:rPr>
          <w:rFonts w:ascii="Times New Roman" w:hAnsi="Times New Roman" w:cs="Times New Roman"/>
          <w:sz w:val="26"/>
          <w:szCs w:val="26"/>
        </w:rPr>
        <w:t xml:space="preserve"> открытых  схемы  теплоснабжения в закрытые.</w:t>
      </w:r>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 xml:space="preserve">ЭС-2035 не содержит мер, направленных на повышение платежной дисциплины потребителей с целью прекращения роста задолженности за энергоресурсы и нормализации текущих расчетов. Между тем, накопившиеся  просроченные долги и их </w:t>
      </w:r>
      <w:proofErr w:type="spellStart"/>
      <w:r w:rsidRPr="00CE5135">
        <w:rPr>
          <w:rFonts w:ascii="Times New Roman" w:hAnsi="Times New Roman" w:cs="Times New Roman"/>
          <w:sz w:val="26"/>
          <w:szCs w:val="26"/>
        </w:rPr>
        <w:t>непрекращающи</w:t>
      </w:r>
      <w:r w:rsidR="007828CD">
        <w:rPr>
          <w:rFonts w:ascii="Times New Roman" w:hAnsi="Times New Roman" w:cs="Times New Roman"/>
          <w:sz w:val="26"/>
          <w:szCs w:val="26"/>
        </w:rPr>
        <w:t>й</w:t>
      </w:r>
      <w:proofErr w:type="spellEnd"/>
      <w:r w:rsidRPr="00CE5135">
        <w:rPr>
          <w:rFonts w:ascii="Times New Roman" w:hAnsi="Times New Roman" w:cs="Times New Roman"/>
          <w:sz w:val="26"/>
          <w:szCs w:val="26"/>
        </w:rPr>
        <w:t xml:space="preserve"> рост в условиях  экономического кризиса становятся серьезным препятствием для притока инвестиций в отрасль.</w:t>
      </w:r>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 xml:space="preserve">Стратегией необходимо предусмотреть разработку и принятие нормативных актов поддержки развития распределенной генерации: </w:t>
      </w:r>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 xml:space="preserve">- в сфере ценообразования на услуги по передаче электрической энергии: закрепить механизм, позволяющий потребителям, присоединенным к объектам малой генерации, оплачивать услуги по передаче электроэнергии с учетом фактического использования сетей в процессе ее получения, а также оплачивать в необходимом объеме резервирование мощности электрической сети на случай прерывания электроснабжения от объектов малой генерации; </w:t>
      </w:r>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 xml:space="preserve">- в сфере участия малой генерации на рынках электрической энергии предоставить объектам малой генерации право выбора по участию на </w:t>
      </w:r>
      <w:proofErr w:type="gramStart"/>
      <w:r w:rsidRPr="00CE5135">
        <w:rPr>
          <w:rFonts w:ascii="Times New Roman" w:hAnsi="Times New Roman" w:cs="Times New Roman"/>
          <w:sz w:val="26"/>
          <w:szCs w:val="26"/>
        </w:rPr>
        <w:t>оптовом</w:t>
      </w:r>
      <w:proofErr w:type="gramEnd"/>
      <w:r w:rsidRPr="00CE5135">
        <w:rPr>
          <w:rFonts w:ascii="Times New Roman" w:hAnsi="Times New Roman" w:cs="Times New Roman"/>
          <w:sz w:val="26"/>
          <w:szCs w:val="26"/>
        </w:rPr>
        <w:t xml:space="preserve"> или розничных рынках без ограничений по установленной мощности </w:t>
      </w:r>
      <w:proofErr w:type="spellStart"/>
      <w:r w:rsidRPr="00CE5135">
        <w:rPr>
          <w:rFonts w:ascii="Times New Roman" w:hAnsi="Times New Roman" w:cs="Times New Roman"/>
          <w:sz w:val="26"/>
          <w:szCs w:val="26"/>
        </w:rPr>
        <w:t>энергообъектов</w:t>
      </w:r>
      <w:proofErr w:type="spellEnd"/>
      <w:r w:rsidRPr="00CE5135">
        <w:rPr>
          <w:rFonts w:ascii="Times New Roman" w:hAnsi="Times New Roman" w:cs="Times New Roman"/>
          <w:sz w:val="26"/>
          <w:szCs w:val="26"/>
        </w:rPr>
        <w:t>.</w:t>
      </w:r>
    </w:p>
    <w:p w:rsidR="00A44E5D" w:rsidRPr="00CE5135" w:rsidRDefault="00A44E5D" w:rsidP="00CE5135">
      <w:pPr>
        <w:spacing w:after="120" w:line="240" w:lineRule="auto"/>
        <w:ind w:firstLine="709"/>
        <w:jc w:val="both"/>
        <w:rPr>
          <w:rFonts w:ascii="Times New Roman" w:hAnsi="Times New Roman" w:cs="Times New Roman"/>
          <w:sz w:val="26"/>
          <w:szCs w:val="26"/>
        </w:rPr>
      </w:pPr>
      <w:proofErr w:type="gramStart"/>
      <w:r w:rsidRPr="00CE5135">
        <w:rPr>
          <w:rFonts w:ascii="Times New Roman" w:hAnsi="Times New Roman" w:cs="Times New Roman"/>
          <w:sz w:val="26"/>
          <w:szCs w:val="26"/>
        </w:rPr>
        <w:t>Индикаторами реализации ЭС-2035 предусмотрено снижение уровня эмиссии парниковых газов (в процентах к 1990 году): 1-й этап (2020 год) &lt;71%, 2-й этап (2035 год) &lt;75%.  Эти показатели жестче, чем принятые Указом Президента РФ от 30.09.2013 № 752 «О сокращении выбросов парниковых газов», согласно которым необходимо обеспечить сокращение объема выбросов парниковых газов к 2020 году до уровня не более 75%. Индикаторами реализации ЭС-2035</w:t>
      </w:r>
      <w:proofErr w:type="gramEnd"/>
      <w:r w:rsidRPr="00CE5135">
        <w:rPr>
          <w:rFonts w:ascii="Times New Roman" w:hAnsi="Times New Roman" w:cs="Times New Roman"/>
          <w:sz w:val="26"/>
          <w:szCs w:val="26"/>
        </w:rPr>
        <w:t xml:space="preserve"> также предусмотрено снижение удельных показателей выбросов загрязняющих веществ в атмосферный воздух, сброса загрязненных сточных вод в водоемы, образования отходов предприятиями энергетического сектора (в процентах к 2014 году): 1-й этап &gt;25, </w:t>
      </w:r>
      <w:r w:rsidR="003C36CB">
        <w:rPr>
          <w:rFonts w:ascii="Times New Roman" w:hAnsi="Times New Roman" w:cs="Times New Roman"/>
          <w:sz w:val="26"/>
          <w:szCs w:val="26"/>
        </w:rPr>
        <w:t xml:space="preserve">               </w:t>
      </w:r>
      <w:r w:rsidRPr="00CE5135">
        <w:rPr>
          <w:rFonts w:ascii="Times New Roman" w:hAnsi="Times New Roman" w:cs="Times New Roman"/>
          <w:sz w:val="26"/>
          <w:szCs w:val="26"/>
        </w:rPr>
        <w:t xml:space="preserve">2-й этап&gt;50. Для достижения индикаторов, установленных проектом Стратегии, потребуются значительные инвестиционные вложения. Заявленные цели представляются труднодостижимыми, так в настоящее время в условиях санкций не решен вопрос по </w:t>
      </w:r>
      <w:proofErr w:type="spellStart"/>
      <w:r w:rsidRPr="00CE5135">
        <w:rPr>
          <w:rFonts w:ascii="Times New Roman" w:hAnsi="Times New Roman" w:cs="Times New Roman"/>
          <w:sz w:val="26"/>
          <w:szCs w:val="26"/>
        </w:rPr>
        <w:t>импортозамещению</w:t>
      </w:r>
      <w:proofErr w:type="spellEnd"/>
      <w:r w:rsidRPr="00CE5135">
        <w:rPr>
          <w:rFonts w:ascii="Times New Roman" w:hAnsi="Times New Roman" w:cs="Times New Roman"/>
          <w:sz w:val="26"/>
          <w:szCs w:val="26"/>
        </w:rPr>
        <w:t xml:space="preserve"> оборудования для перехода на технологии, соответствующие лучшим мировым стандартам, а имеющаяся отечественная научно-техническая база и  производственные мощности не способны решить поставленные задачи. </w:t>
      </w:r>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 xml:space="preserve">Не предусмотрены экономические механизмы, за счет которых будут реализованы прогнозные показатели, увеличены затраты на экологическую безопасность. Затраты на внедрение экологически эффективных технологий и расходы по предотвращению и ликвидации экологического вреда будут возложены на предприятия – </w:t>
      </w:r>
      <w:proofErr w:type="spellStart"/>
      <w:r w:rsidRPr="00CE5135">
        <w:rPr>
          <w:rFonts w:ascii="Times New Roman" w:hAnsi="Times New Roman" w:cs="Times New Roman"/>
          <w:sz w:val="26"/>
          <w:szCs w:val="26"/>
        </w:rPr>
        <w:t>природопользователи</w:t>
      </w:r>
      <w:proofErr w:type="spellEnd"/>
      <w:r w:rsidRPr="00CE5135">
        <w:rPr>
          <w:rFonts w:ascii="Times New Roman" w:hAnsi="Times New Roman" w:cs="Times New Roman"/>
          <w:sz w:val="26"/>
          <w:szCs w:val="26"/>
        </w:rPr>
        <w:t>, что повлечет за собой экономические и социальные последствия.</w:t>
      </w:r>
    </w:p>
    <w:p w:rsidR="00A44E5D" w:rsidRDefault="00293781" w:rsidP="00CE5135">
      <w:pPr>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Таким образом, с</w:t>
      </w:r>
      <w:r w:rsidR="003C36CB">
        <w:rPr>
          <w:rFonts w:ascii="Times New Roman" w:hAnsi="Times New Roman" w:cs="Times New Roman"/>
          <w:sz w:val="26"/>
          <w:szCs w:val="26"/>
        </w:rPr>
        <w:t>реди наиболее распространенных предложений</w:t>
      </w:r>
      <w:r>
        <w:rPr>
          <w:rFonts w:ascii="Times New Roman" w:hAnsi="Times New Roman" w:cs="Times New Roman"/>
          <w:sz w:val="26"/>
          <w:szCs w:val="26"/>
        </w:rPr>
        <w:t xml:space="preserve"> </w:t>
      </w:r>
      <w:r w:rsidRPr="00293781">
        <w:rPr>
          <w:rFonts w:ascii="Times New Roman" w:hAnsi="Times New Roman" w:cs="Times New Roman"/>
          <w:sz w:val="26"/>
          <w:szCs w:val="26"/>
        </w:rPr>
        <w:t xml:space="preserve">к проекту </w:t>
      </w:r>
      <w:r>
        <w:rPr>
          <w:rFonts w:ascii="Times New Roman" w:hAnsi="Times New Roman" w:cs="Times New Roman"/>
          <w:sz w:val="26"/>
          <w:szCs w:val="26"/>
        </w:rPr>
        <w:t xml:space="preserve">               </w:t>
      </w:r>
      <w:r w:rsidRPr="00293781">
        <w:rPr>
          <w:rFonts w:ascii="Times New Roman" w:hAnsi="Times New Roman" w:cs="Times New Roman"/>
          <w:sz w:val="26"/>
          <w:szCs w:val="26"/>
        </w:rPr>
        <w:t>ЭС-2035,</w:t>
      </w:r>
      <w:r>
        <w:rPr>
          <w:rFonts w:ascii="Times New Roman" w:hAnsi="Times New Roman" w:cs="Times New Roman"/>
          <w:sz w:val="26"/>
          <w:szCs w:val="26"/>
        </w:rPr>
        <w:t xml:space="preserve"> затрагивающих вопросы электро- и теплоэнергетики, </w:t>
      </w:r>
      <w:r w:rsidR="003C36CB">
        <w:rPr>
          <w:rFonts w:ascii="Times New Roman" w:hAnsi="Times New Roman" w:cs="Times New Roman"/>
          <w:sz w:val="26"/>
          <w:szCs w:val="26"/>
        </w:rPr>
        <w:t>направленных компаниями – членами РСПП, выделяются следующие:</w:t>
      </w:r>
    </w:p>
    <w:p w:rsidR="003C36CB" w:rsidRDefault="003C36CB" w:rsidP="003C36CB">
      <w:pPr>
        <w:spacing w:after="120" w:line="240" w:lineRule="auto"/>
        <w:ind w:firstLine="360"/>
        <w:jc w:val="both"/>
        <w:rPr>
          <w:rFonts w:ascii="Times New Roman" w:hAnsi="Times New Roman" w:cs="Times New Roman"/>
          <w:sz w:val="26"/>
          <w:szCs w:val="26"/>
        </w:rPr>
      </w:pPr>
      <w:r>
        <w:rPr>
          <w:rFonts w:ascii="Times New Roman" w:hAnsi="Times New Roman" w:cs="Times New Roman"/>
          <w:sz w:val="26"/>
          <w:szCs w:val="26"/>
        </w:rPr>
        <w:lastRenderedPageBreak/>
        <w:t xml:space="preserve"> - необходимость </w:t>
      </w:r>
      <w:r w:rsidRPr="003C36CB">
        <w:rPr>
          <w:rFonts w:ascii="Times New Roman" w:hAnsi="Times New Roman" w:cs="Times New Roman"/>
          <w:sz w:val="26"/>
          <w:szCs w:val="26"/>
        </w:rPr>
        <w:t>на первом этапе реализации Энергетической стратегии – до 2020</w:t>
      </w:r>
      <w:r>
        <w:rPr>
          <w:rFonts w:ascii="Times New Roman" w:hAnsi="Times New Roman" w:cs="Times New Roman"/>
          <w:sz w:val="26"/>
          <w:szCs w:val="26"/>
        </w:rPr>
        <w:t> </w:t>
      </w:r>
      <w:r w:rsidRPr="003C36CB">
        <w:rPr>
          <w:rFonts w:ascii="Times New Roman" w:hAnsi="Times New Roman" w:cs="Times New Roman"/>
          <w:sz w:val="26"/>
          <w:szCs w:val="26"/>
        </w:rPr>
        <w:t>г. внес</w:t>
      </w:r>
      <w:r>
        <w:rPr>
          <w:rFonts w:ascii="Times New Roman" w:hAnsi="Times New Roman" w:cs="Times New Roman"/>
          <w:sz w:val="26"/>
          <w:szCs w:val="26"/>
        </w:rPr>
        <w:t xml:space="preserve">ения </w:t>
      </w:r>
      <w:r w:rsidRPr="003C36CB">
        <w:rPr>
          <w:rFonts w:ascii="Times New Roman" w:hAnsi="Times New Roman" w:cs="Times New Roman"/>
          <w:sz w:val="26"/>
          <w:szCs w:val="26"/>
        </w:rPr>
        <w:t>изменени</w:t>
      </w:r>
      <w:r>
        <w:rPr>
          <w:rFonts w:ascii="Times New Roman" w:hAnsi="Times New Roman" w:cs="Times New Roman"/>
          <w:sz w:val="26"/>
          <w:szCs w:val="26"/>
        </w:rPr>
        <w:t>й</w:t>
      </w:r>
      <w:r w:rsidRPr="003C36CB">
        <w:rPr>
          <w:rFonts w:ascii="Times New Roman" w:hAnsi="Times New Roman" w:cs="Times New Roman"/>
          <w:sz w:val="26"/>
          <w:szCs w:val="26"/>
        </w:rPr>
        <w:t xml:space="preserve"> в модель рынка электроэнергии, обеспечивающи</w:t>
      </w:r>
      <w:r>
        <w:rPr>
          <w:rFonts w:ascii="Times New Roman" w:hAnsi="Times New Roman" w:cs="Times New Roman"/>
          <w:sz w:val="26"/>
          <w:szCs w:val="26"/>
        </w:rPr>
        <w:t>х</w:t>
      </w:r>
      <w:r w:rsidRPr="003C36CB">
        <w:rPr>
          <w:rFonts w:ascii="Times New Roman" w:hAnsi="Times New Roman" w:cs="Times New Roman"/>
          <w:sz w:val="26"/>
          <w:szCs w:val="26"/>
        </w:rPr>
        <w:t xml:space="preserve"> формирование рыночного ценообразования</w:t>
      </w:r>
      <w:r>
        <w:rPr>
          <w:rFonts w:ascii="Times New Roman" w:hAnsi="Times New Roman" w:cs="Times New Roman"/>
          <w:sz w:val="26"/>
          <w:szCs w:val="26"/>
        </w:rPr>
        <w:t xml:space="preserve">; </w:t>
      </w:r>
    </w:p>
    <w:p w:rsidR="003C36CB" w:rsidRDefault="003C36CB" w:rsidP="003C36CB">
      <w:pPr>
        <w:spacing w:after="12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 </w:t>
      </w:r>
      <w:r w:rsidRPr="003C36CB">
        <w:rPr>
          <w:rFonts w:ascii="Times New Roman" w:hAnsi="Times New Roman" w:cs="Times New Roman"/>
          <w:sz w:val="26"/>
          <w:szCs w:val="26"/>
        </w:rPr>
        <w:t>поэтапн</w:t>
      </w:r>
      <w:r>
        <w:rPr>
          <w:rFonts w:ascii="Times New Roman" w:hAnsi="Times New Roman" w:cs="Times New Roman"/>
          <w:sz w:val="26"/>
          <w:szCs w:val="26"/>
        </w:rPr>
        <w:t>ая</w:t>
      </w:r>
      <w:r w:rsidRPr="003C36CB">
        <w:rPr>
          <w:rFonts w:ascii="Times New Roman" w:hAnsi="Times New Roman" w:cs="Times New Roman"/>
          <w:sz w:val="26"/>
          <w:szCs w:val="26"/>
        </w:rPr>
        <w:t xml:space="preserve"> ликвидаци</w:t>
      </w:r>
      <w:r>
        <w:rPr>
          <w:rFonts w:ascii="Times New Roman" w:hAnsi="Times New Roman" w:cs="Times New Roman"/>
          <w:sz w:val="26"/>
          <w:szCs w:val="26"/>
        </w:rPr>
        <w:t>я</w:t>
      </w:r>
      <w:r w:rsidRPr="003C36CB">
        <w:rPr>
          <w:rFonts w:ascii="Times New Roman" w:hAnsi="Times New Roman" w:cs="Times New Roman"/>
          <w:sz w:val="26"/>
          <w:szCs w:val="26"/>
        </w:rPr>
        <w:t xml:space="preserve"> механизма перекрестного субсидирования;</w:t>
      </w:r>
    </w:p>
    <w:p w:rsidR="00293781" w:rsidRDefault="003C36CB" w:rsidP="00293781">
      <w:pPr>
        <w:spacing w:after="12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 </w:t>
      </w:r>
      <w:r w:rsidRPr="003C36CB">
        <w:rPr>
          <w:rFonts w:ascii="Times New Roman" w:hAnsi="Times New Roman" w:cs="Times New Roman"/>
          <w:sz w:val="26"/>
          <w:szCs w:val="26"/>
        </w:rPr>
        <w:t>утверждение параметров долгосрочного регулирования сетевых организаций с учетом необходимости стимулирования модернизации электрических сетей</w:t>
      </w:r>
      <w:r w:rsidR="00293781">
        <w:rPr>
          <w:rFonts w:ascii="Times New Roman" w:hAnsi="Times New Roman" w:cs="Times New Roman"/>
          <w:sz w:val="26"/>
          <w:szCs w:val="26"/>
        </w:rPr>
        <w:t xml:space="preserve">; </w:t>
      </w:r>
    </w:p>
    <w:p w:rsidR="00293781" w:rsidRDefault="00293781" w:rsidP="00293781">
      <w:pPr>
        <w:spacing w:after="12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 </w:t>
      </w:r>
      <w:r w:rsidR="003C36CB" w:rsidRPr="003C36CB">
        <w:rPr>
          <w:rFonts w:ascii="Times New Roman" w:hAnsi="Times New Roman" w:cs="Times New Roman"/>
          <w:sz w:val="26"/>
          <w:szCs w:val="26"/>
        </w:rPr>
        <w:t>пересмотр приоритет</w:t>
      </w:r>
      <w:r>
        <w:rPr>
          <w:rFonts w:ascii="Times New Roman" w:hAnsi="Times New Roman" w:cs="Times New Roman"/>
          <w:sz w:val="26"/>
          <w:szCs w:val="26"/>
        </w:rPr>
        <w:t>ов</w:t>
      </w:r>
      <w:r w:rsidR="003C36CB" w:rsidRPr="003C36CB">
        <w:rPr>
          <w:rFonts w:ascii="Times New Roman" w:hAnsi="Times New Roman" w:cs="Times New Roman"/>
          <w:sz w:val="26"/>
          <w:szCs w:val="26"/>
        </w:rPr>
        <w:t xml:space="preserve"> развития генерирующих мощностей – отказ от реализации чрезвычайно дорогостоящих и длительных проектов строительства ГЭС и АЭС в пользу модернизации и развития и тепловой генерации;</w:t>
      </w:r>
      <w:r>
        <w:rPr>
          <w:rFonts w:ascii="Times New Roman" w:hAnsi="Times New Roman" w:cs="Times New Roman"/>
          <w:sz w:val="26"/>
          <w:szCs w:val="26"/>
        </w:rPr>
        <w:t xml:space="preserve"> </w:t>
      </w:r>
    </w:p>
    <w:p w:rsidR="00293781" w:rsidRDefault="00293781" w:rsidP="00293781">
      <w:pPr>
        <w:spacing w:after="12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 п</w:t>
      </w:r>
      <w:r w:rsidR="003C36CB" w:rsidRPr="003C36CB">
        <w:rPr>
          <w:rFonts w:ascii="Times New Roman" w:hAnsi="Times New Roman" w:cs="Times New Roman"/>
          <w:sz w:val="26"/>
          <w:szCs w:val="26"/>
        </w:rPr>
        <w:t>ересмотр инвестиционны</w:t>
      </w:r>
      <w:r>
        <w:rPr>
          <w:rFonts w:ascii="Times New Roman" w:hAnsi="Times New Roman" w:cs="Times New Roman"/>
          <w:sz w:val="26"/>
          <w:szCs w:val="26"/>
        </w:rPr>
        <w:t>х</w:t>
      </w:r>
      <w:r w:rsidR="003C36CB" w:rsidRPr="003C36CB">
        <w:rPr>
          <w:rFonts w:ascii="Times New Roman" w:hAnsi="Times New Roman" w:cs="Times New Roman"/>
          <w:sz w:val="26"/>
          <w:szCs w:val="26"/>
        </w:rPr>
        <w:t xml:space="preserve"> программ ПАО «</w:t>
      </w:r>
      <w:proofErr w:type="spellStart"/>
      <w:r w:rsidR="003C36CB" w:rsidRPr="003C36CB">
        <w:rPr>
          <w:rFonts w:ascii="Times New Roman" w:hAnsi="Times New Roman" w:cs="Times New Roman"/>
          <w:sz w:val="26"/>
          <w:szCs w:val="26"/>
        </w:rPr>
        <w:t>Россети</w:t>
      </w:r>
      <w:proofErr w:type="spellEnd"/>
      <w:r w:rsidR="003C36CB" w:rsidRPr="003C36CB">
        <w:rPr>
          <w:rFonts w:ascii="Times New Roman" w:hAnsi="Times New Roman" w:cs="Times New Roman"/>
          <w:sz w:val="26"/>
          <w:szCs w:val="26"/>
        </w:rPr>
        <w:t>» с целью их сокращения для доведения уровня сетевой составляющей в стоимости электроэнергии для конечного потребителя до общемирового уровня 15-20%</w:t>
      </w:r>
      <w:r>
        <w:rPr>
          <w:rFonts w:ascii="Times New Roman" w:hAnsi="Times New Roman" w:cs="Times New Roman"/>
          <w:sz w:val="26"/>
          <w:szCs w:val="26"/>
        </w:rPr>
        <w:t xml:space="preserve">; </w:t>
      </w:r>
    </w:p>
    <w:p w:rsidR="00293781" w:rsidRDefault="00293781" w:rsidP="00293781">
      <w:pPr>
        <w:spacing w:after="12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 </w:t>
      </w:r>
      <w:r w:rsidR="003C36CB" w:rsidRPr="003C36CB">
        <w:rPr>
          <w:rFonts w:ascii="Times New Roman" w:hAnsi="Times New Roman" w:cs="Times New Roman"/>
          <w:sz w:val="26"/>
          <w:szCs w:val="26"/>
        </w:rPr>
        <w:t>в сфере ценообразования на услуги по передаче электрической энергии: закреп</w:t>
      </w:r>
      <w:r>
        <w:rPr>
          <w:rFonts w:ascii="Times New Roman" w:hAnsi="Times New Roman" w:cs="Times New Roman"/>
          <w:sz w:val="26"/>
          <w:szCs w:val="26"/>
        </w:rPr>
        <w:t xml:space="preserve">ление </w:t>
      </w:r>
      <w:r w:rsidR="003C36CB" w:rsidRPr="003C36CB">
        <w:rPr>
          <w:rFonts w:ascii="Times New Roman" w:hAnsi="Times New Roman" w:cs="Times New Roman"/>
          <w:sz w:val="26"/>
          <w:szCs w:val="26"/>
        </w:rPr>
        <w:t>механизм</w:t>
      </w:r>
      <w:r>
        <w:rPr>
          <w:rFonts w:ascii="Times New Roman" w:hAnsi="Times New Roman" w:cs="Times New Roman"/>
          <w:sz w:val="26"/>
          <w:szCs w:val="26"/>
        </w:rPr>
        <w:t>а</w:t>
      </w:r>
      <w:r w:rsidR="003C36CB" w:rsidRPr="003C36CB">
        <w:rPr>
          <w:rFonts w:ascii="Times New Roman" w:hAnsi="Times New Roman" w:cs="Times New Roman"/>
          <w:sz w:val="26"/>
          <w:szCs w:val="26"/>
        </w:rPr>
        <w:t>, позволяющ</w:t>
      </w:r>
      <w:r>
        <w:rPr>
          <w:rFonts w:ascii="Times New Roman" w:hAnsi="Times New Roman" w:cs="Times New Roman"/>
          <w:sz w:val="26"/>
          <w:szCs w:val="26"/>
        </w:rPr>
        <w:t>его</w:t>
      </w:r>
      <w:r w:rsidR="003C36CB" w:rsidRPr="003C36CB">
        <w:rPr>
          <w:rFonts w:ascii="Times New Roman" w:hAnsi="Times New Roman" w:cs="Times New Roman"/>
          <w:sz w:val="26"/>
          <w:szCs w:val="26"/>
        </w:rPr>
        <w:t xml:space="preserve"> потребителям, присоединенным к объектам малой генерации, оплачивать услуги по передаче электроэнергии с учетом фактического использования сетей в процессе ее получения, а также оплачивать в необходимом объеме резервирование мощности электрической сети на случай прерывания электроснабжения от объектов малой генерации; </w:t>
      </w:r>
    </w:p>
    <w:p w:rsidR="003C36CB" w:rsidRPr="00922DFA" w:rsidRDefault="00293781" w:rsidP="00922DFA">
      <w:pPr>
        <w:spacing w:after="12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 </w:t>
      </w:r>
      <w:r w:rsidR="003C36CB" w:rsidRPr="003C36CB">
        <w:rPr>
          <w:rFonts w:ascii="Times New Roman" w:hAnsi="Times New Roman" w:cs="Times New Roman"/>
          <w:sz w:val="26"/>
          <w:szCs w:val="26"/>
        </w:rPr>
        <w:t>в сфере участия малой генерации на рынках электрической энергии</w:t>
      </w:r>
      <w:r>
        <w:rPr>
          <w:rFonts w:ascii="Times New Roman" w:hAnsi="Times New Roman" w:cs="Times New Roman"/>
          <w:sz w:val="26"/>
          <w:szCs w:val="26"/>
        </w:rPr>
        <w:t xml:space="preserve">:  </w:t>
      </w:r>
      <w:r w:rsidR="003C36CB" w:rsidRPr="003C36CB">
        <w:rPr>
          <w:rFonts w:ascii="Times New Roman" w:hAnsi="Times New Roman" w:cs="Times New Roman"/>
          <w:sz w:val="26"/>
          <w:szCs w:val="26"/>
        </w:rPr>
        <w:t xml:space="preserve"> предостав</w:t>
      </w:r>
      <w:r>
        <w:rPr>
          <w:rFonts w:ascii="Times New Roman" w:hAnsi="Times New Roman" w:cs="Times New Roman"/>
          <w:sz w:val="26"/>
          <w:szCs w:val="26"/>
        </w:rPr>
        <w:t xml:space="preserve">ление </w:t>
      </w:r>
      <w:r w:rsidR="003C36CB" w:rsidRPr="003C36CB">
        <w:rPr>
          <w:rFonts w:ascii="Times New Roman" w:hAnsi="Times New Roman" w:cs="Times New Roman"/>
          <w:sz w:val="26"/>
          <w:szCs w:val="26"/>
        </w:rPr>
        <w:t>объектам малой генерации прав</w:t>
      </w:r>
      <w:r>
        <w:rPr>
          <w:rFonts w:ascii="Times New Roman" w:hAnsi="Times New Roman" w:cs="Times New Roman"/>
          <w:sz w:val="26"/>
          <w:szCs w:val="26"/>
        </w:rPr>
        <w:t>а</w:t>
      </w:r>
      <w:r w:rsidR="003C36CB" w:rsidRPr="003C36CB">
        <w:rPr>
          <w:rFonts w:ascii="Times New Roman" w:hAnsi="Times New Roman" w:cs="Times New Roman"/>
          <w:sz w:val="26"/>
          <w:szCs w:val="26"/>
        </w:rPr>
        <w:t xml:space="preserve"> выбора по участию на </w:t>
      </w:r>
      <w:proofErr w:type="gramStart"/>
      <w:r w:rsidR="003C36CB" w:rsidRPr="003C36CB">
        <w:rPr>
          <w:rFonts w:ascii="Times New Roman" w:hAnsi="Times New Roman" w:cs="Times New Roman"/>
          <w:sz w:val="26"/>
          <w:szCs w:val="26"/>
        </w:rPr>
        <w:t>оптовом</w:t>
      </w:r>
      <w:proofErr w:type="gramEnd"/>
      <w:r w:rsidR="003C36CB" w:rsidRPr="003C36CB">
        <w:rPr>
          <w:rFonts w:ascii="Times New Roman" w:hAnsi="Times New Roman" w:cs="Times New Roman"/>
          <w:sz w:val="26"/>
          <w:szCs w:val="26"/>
        </w:rPr>
        <w:t xml:space="preserve"> или розничных рынках без ограничений по установленной мощности </w:t>
      </w:r>
      <w:proofErr w:type="spellStart"/>
      <w:r w:rsidR="003C36CB" w:rsidRPr="003C36CB">
        <w:rPr>
          <w:rFonts w:ascii="Times New Roman" w:hAnsi="Times New Roman" w:cs="Times New Roman"/>
          <w:sz w:val="26"/>
          <w:szCs w:val="26"/>
        </w:rPr>
        <w:t>энергообъектов</w:t>
      </w:r>
      <w:proofErr w:type="spellEnd"/>
      <w:r w:rsidR="003C36CB" w:rsidRPr="003C36CB">
        <w:rPr>
          <w:rFonts w:ascii="Times New Roman" w:hAnsi="Times New Roman" w:cs="Times New Roman"/>
          <w:sz w:val="26"/>
          <w:szCs w:val="26"/>
        </w:rPr>
        <w:t xml:space="preserve">. </w:t>
      </w:r>
    </w:p>
    <w:p w:rsidR="00655395" w:rsidRPr="00922DFA" w:rsidRDefault="00655395" w:rsidP="00922DFA">
      <w:pPr>
        <w:pStyle w:val="1"/>
        <w:rPr>
          <w:rFonts w:ascii="Times New Roman" w:hAnsi="Times New Roman" w:cs="Times New Roman"/>
          <w:i/>
          <w:color w:val="1F497D" w:themeColor="text2"/>
          <w:sz w:val="26"/>
          <w:szCs w:val="26"/>
        </w:rPr>
      </w:pPr>
      <w:bookmarkStart w:id="6" w:name="_Toc431474221"/>
      <w:r w:rsidRPr="00922DFA">
        <w:rPr>
          <w:rFonts w:ascii="Times New Roman" w:hAnsi="Times New Roman" w:cs="Times New Roman"/>
          <w:i/>
          <w:color w:val="1F497D" w:themeColor="text2"/>
          <w:sz w:val="26"/>
          <w:szCs w:val="26"/>
        </w:rPr>
        <w:t>Потенциал возобновляемой энергетики</w:t>
      </w:r>
      <w:bookmarkEnd w:id="6"/>
    </w:p>
    <w:p w:rsidR="00655395" w:rsidRPr="00655395" w:rsidRDefault="00655395" w:rsidP="00655395">
      <w:pPr>
        <w:spacing w:after="120" w:line="240" w:lineRule="auto"/>
        <w:ind w:firstLine="709"/>
        <w:jc w:val="both"/>
        <w:rPr>
          <w:rFonts w:ascii="Times New Roman" w:hAnsi="Times New Roman" w:cs="Times New Roman"/>
          <w:sz w:val="26"/>
          <w:szCs w:val="26"/>
        </w:rPr>
      </w:pPr>
      <w:r w:rsidRPr="00655395">
        <w:rPr>
          <w:rFonts w:ascii="Times New Roman" w:hAnsi="Times New Roman" w:cs="Times New Roman"/>
          <w:sz w:val="26"/>
          <w:szCs w:val="26"/>
        </w:rPr>
        <w:t xml:space="preserve">В условиях структурных изменений в энергосистемах ведущих потребителей </w:t>
      </w:r>
      <w:proofErr w:type="gramStart"/>
      <w:r w:rsidRPr="00655395">
        <w:rPr>
          <w:rFonts w:ascii="Times New Roman" w:hAnsi="Times New Roman" w:cs="Times New Roman"/>
          <w:sz w:val="26"/>
          <w:szCs w:val="26"/>
        </w:rPr>
        <w:t>углеводородов</w:t>
      </w:r>
      <w:proofErr w:type="gramEnd"/>
      <w:r w:rsidRPr="00655395">
        <w:rPr>
          <w:rFonts w:ascii="Times New Roman" w:hAnsi="Times New Roman" w:cs="Times New Roman"/>
          <w:sz w:val="26"/>
          <w:szCs w:val="26"/>
        </w:rPr>
        <w:t xml:space="preserve"> с учетом развития использования возобновляемых источников энергии (ВИЭ) существует значительный риск замещения потребления углеводородных ресурсов возобновляемой энергетикой в объемах, превышающих объем экспорта указанных ресурсов со стороны Российской Федерации, что неизбежно влечет за собой усиление конкуренции на сырьевом рынке. </w:t>
      </w:r>
      <w:proofErr w:type="gramStart"/>
      <w:r w:rsidRPr="00655395">
        <w:rPr>
          <w:rFonts w:ascii="Times New Roman" w:hAnsi="Times New Roman" w:cs="Times New Roman"/>
          <w:sz w:val="26"/>
          <w:szCs w:val="26"/>
        </w:rPr>
        <w:t>В проекте Энергетической стратегии указанный риск рассматривается только в связи с вероятным внедрением прорывных технологий использования ВИЭ без учета текущих трендов, подтверждаемых ведущими мировыми экспертными организациями, в т</w:t>
      </w:r>
      <w:r>
        <w:rPr>
          <w:rFonts w:ascii="Times New Roman" w:hAnsi="Times New Roman" w:cs="Times New Roman"/>
          <w:sz w:val="26"/>
          <w:szCs w:val="26"/>
        </w:rPr>
        <w:t xml:space="preserve">ом числе </w:t>
      </w:r>
      <w:r w:rsidRPr="00655395">
        <w:rPr>
          <w:rFonts w:ascii="Times New Roman" w:hAnsi="Times New Roman" w:cs="Times New Roman"/>
          <w:sz w:val="26"/>
          <w:szCs w:val="26"/>
        </w:rPr>
        <w:t xml:space="preserve"> Международным энергетическим агентством (МЭА), Международным агентством по возобновляемой энергетике (</w:t>
      </w:r>
      <w:r w:rsidRPr="00655395">
        <w:rPr>
          <w:rFonts w:ascii="Times New Roman" w:hAnsi="Times New Roman" w:cs="Times New Roman"/>
          <w:sz w:val="26"/>
          <w:szCs w:val="26"/>
          <w:lang w:val="en-US"/>
        </w:rPr>
        <w:t>IEA</w:t>
      </w:r>
      <w:r w:rsidRPr="00655395">
        <w:rPr>
          <w:rFonts w:ascii="Times New Roman" w:hAnsi="Times New Roman" w:cs="Times New Roman"/>
          <w:sz w:val="26"/>
          <w:szCs w:val="26"/>
        </w:rPr>
        <w:t xml:space="preserve">), агентством </w:t>
      </w:r>
      <w:r w:rsidRPr="00655395">
        <w:rPr>
          <w:rFonts w:ascii="Times New Roman" w:hAnsi="Times New Roman" w:cs="Times New Roman"/>
          <w:sz w:val="26"/>
          <w:szCs w:val="26"/>
          <w:lang w:val="en-US"/>
        </w:rPr>
        <w:t>Bloomberg</w:t>
      </w:r>
      <w:r w:rsidRPr="00655395">
        <w:rPr>
          <w:rFonts w:ascii="Times New Roman" w:hAnsi="Times New Roman" w:cs="Times New Roman"/>
          <w:sz w:val="26"/>
          <w:szCs w:val="26"/>
        </w:rPr>
        <w:t xml:space="preserve"> </w:t>
      </w:r>
      <w:r w:rsidRPr="00655395">
        <w:rPr>
          <w:rFonts w:ascii="Times New Roman" w:hAnsi="Times New Roman" w:cs="Times New Roman"/>
          <w:sz w:val="26"/>
          <w:szCs w:val="26"/>
          <w:lang w:val="en-US"/>
        </w:rPr>
        <w:t>New</w:t>
      </w:r>
      <w:r w:rsidRPr="00655395">
        <w:rPr>
          <w:rFonts w:ascii="Times New Roman" w:hAnsi="Times New Roman" w:cs="Times New Roman"/>
          <w:sz w:val="26"/>
          <w:szCs w:val="26"/>
        </w:rPr>
        <w:t xml:space="preserve"> </w:t>
      </w:r>
      <w:r w:rsidRPr="00655395">
        <w:rPr>
          <w:rFonts w:ascii="Times New Roman" w:hAnsi="Times New Roman" w:cs="Times New Roman"/>
          <w:sz w:val="26"/>
          <w:szCs w:val="26"/>
          <w:lang w:val="en-US"/>
        </w:rPr>
        <w:t>Energy</w:t>
      </w:r>
      <w:r w:rsidRPr="00655395">
        <w:rPr>
          <w:rFonts w:ascii="Times New Roman" w:hAnsi="Times New Roman" w:cs="Times New Roman"/>
          <w:sz w:val="26"/>
          <w:szCs w:val="26"/>
        </w:rPr>
        <w:t xml:space="preserve"> </w:t>
      </w:r>
      <w:r w:rsidRPr="00655395">
        <w:rPr>
          <w:rFonts w:ascii="Times New Roman" w:hAnsi="Times New Roman" w:cs="Times New Roman"/>
          <w:sz w:val="26"/>
          <w:szCs w:val="26"/>
          <w:lang w:val="en-US"/>
        </w:rPr>
        <w:t>Finance</w:t>
      </w:r>
      <w:r w:rsidRPr="00655395">
        <w:rPr>
          <w:rFonts w:ascii="Times New Roman" w:hAnsi="Times New Roman" w:cs="Times New Roman"/>
          <w:sz w:val="26"/>
          <w:szCs w:val="26"/>
        </w:rPr>
        <w:t>, ведущими национальными и международными исследовательскими институтами, а именно:</w:t>
      </w:r>
      <w:proofErr w:type="gramEnd"/>
    </w:p>
    <w:p w:rsidR="00655395" w:rsidRPr="00655395" w:rsidRDefault="00655395" w:rsidP="00655395">
      <w:pPr>
        <w:numPr>
          <w:ilvl w:val="0"/>
          <w:numId w:val="17"/>
        </w:numPr>
        <w:spacing w:after="120" w:line="240" w:lineRule="auto"/>
        <w:jc w:val="both"/>
        <w:rPr>
          <w:rFonts w:ascii="Times New Roman" w:hAnsi="Times New Roman" w:cs="Times New Roman"/>
          <w:sz w:val="26"/>
          <w:szCs w:val="26"/>
        </w:rPr>
      </w:pPr>
      <w:r>
        <w:rPr>
          <w:rFonts w:ascii="Times New Roman" w:hAnsi="Times New Roman" w:cs="Times New Roman"/>
          <w:sz w:val="26"/>
          <w:szCs w:val="26"/>
        </w:rPr>
        <w:t>б</w:t>
      </w:r>
      <w:r w:rsidRPr="00655395">
        <w:rPr>
          <w:rFonts w:ascii="Times New Roman" w:hAnsi="Times New Roman" w:cs="Times New Roman"/>
          <w:sz w:val="26"/>
          <w:szCs w:val="26"/>
        </w:rPr>
        <w:t>олее 2/3 инвестиций в мировую электроэнергетику в период до 2040 года в размере 8 трлн. долл. США составят инвестиции в ВИЭ с наибольшей долей солнечной энергетики.</w:t>
      </w:r>
    </w:p>
    <w:p w:rsidR="00655395" w:rsidRPr="00655395" w:rsidRDefault="00655395" w:rsidP="00655395">
      <w:pPr>
        <w:numPr>
          <w:ilvl w:val="0"/>
          <w:numId w:val="17"/>
        </w:numPr>
        <w:spacing w:after="120" w:line="240" w:lineRule="auto"/>
        <w:jc w:val="both"/>
        <w:rPr>
          <w:rFonts w:ascii="Times New Roman" w:hAnsi="Times New Roman" w:cs="Times New Roman"/>
          <w:sz w:val="26"/>
          <w:szCs w:val="26"/>
        </w:rPr>
      </w:pPr>
      <w:r>
        <w:rPr>
          <w:rFonts w:ascii="Times New Roman" w:hAnsi="Times New Roman" w:cs="Times New Roman"/>
          <w:sz w:val="26"/>
          <w:szCs w:val="26"/>
        </w:rPr>
        <w:t>б</w:t>
      </w:r>
      <w:r w:rsidRPr="00655395">
        <w:rPr>
          <w:rFonts w:ascii="Times New Roman" w:hAnsi="Times New Roman" w:cs="Times New Roman"/>
          <w:sz w:val="26"/>
          <w:szCs w:val="26"/>
        </w:rPr>
        <w:t>ольшая часть инвестиций в ВИЭ будет осуществлена в странах азиатского региона, являющихся крупнейшими потребителями углеводородного сырья (Индия, Китай и др.).</w:t>
      </w:r>
    </w:p>
    <w:p w:rsidR="00655395" w:rsidRPr="00655395" w:rsidRDefault="00655395" w:rsidP="00655395">
      <w:pPr>
        <w:numPr>
          <w:ilvl w:val="0"/>
          <w:numId w:val="17"/>
        </w:numPr>
        <w:spacing w:after="12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б</w:t>
      </w:r>
      <w:r w:rsidRPr="00655395">
        <w:rPr>
          <w:rFonts w:ascii="Times New Roman" w:hAnsi="Times New Roman" w:cs="Times New Roman"/>
          <w:sz w:val="26"/>
          <w:szCs w:val="26"/>
        </w:rPr>
        <w:t>олее половины всех новых вводов генерирующих мощностей будет составлять генерация на основе использования ВИЭ. В ведущих странах этот показатель будет еще выше. Например, в Китае доля вводов ВИЭ составит более 70% от всех новых вводов генерации, а в странах ЕС – до 90%.</w:t>
      </w:r>
    </w:p>
    <w:p w:rsidR="00655395" w:rsidRPr="00655395" w:rsidRDefault="00655395" w:rsidP="00655395">
      <w:pPr>
        <w:numPr>
          <w:ilvl w:val="0"/>
          <w:numId w:val="17"/>
        </w:numPr>
        <w:spacing w:after="120" w:line="240" w:lineRule="auto"/>
        <w:jc w:val="both"/>
        <w:rPr>
          <w:rFonts w:ascii="Times New Roman" w:hAnsi="Times New Roman" w:cs="Times New Roman"/>
          <w:sz w:val="26"/>
          <w:szCs w:val="26"/>
        </w:rPr>
      </w:pPr>
      <w:r>
        <w:rPr>
          <w:rFonts w:ascii="Times New Roman" w:hAnsi="Times New Roman" w:cs="Times New Roman"/>
          <w:sz w:val="26"/>
          <w:szCs w:val="26"/>
        </w:rPr>
        <w:t>в</w:t>
      </w:r>
      <w:r w:rsidRPr="00655395">
        <w:rPr>
          <w:rFonts w:ascii="Times New Roman" w:hAnsi="Times New Roman" w:cs="Times New Roman"/>
          <w:sz w:val="26"/>
          <w:szCs w:val="26"/>
        </w:rPr>
        <w:t xml:space="preserve"> Китае до 2035 года будет введено 740 ГВт солнечных электростанций (СЭС) и 645 ГВт </w:t>
      </w:r>
      <w:proofErr w:type="spellStart"/>
      <w:r w:rsidRPr="00655395">
        <w:rPr>
          <w:rFonts w:ascii="Times New Roman" w:hAnsi="Times New Roman" w:cs="Times New Roman"/>
          <w:sz w:val="26"/>
          <w:szCs w:val="26"/>
        </w:rPr>
        <w:t>ветроэлектростанций</w:t>
      </w:r>
      <w:proofErr w:type="spellEnd"/>
      <w:r w:rsidRPr="00655395">
        <w:rPr>
          <w:rFonts w:ascii="Times New Roman" w:hAnsi="Times New Roman" w:cs="Times New Roman"/>
          <w:sz w:val="26"/>
          <w:szCs w:val="26"/>
        </w:rPr>
        <w:t xml:space="preserve"> (ВЭС), в США и ЕС - 900 ГВт СЭС и 500 ГВт ВЭС.</w:t>
      </w:r>
    </w:p>
    <w:p w:rsidR="00655395" w:rsidRPr="00655395" w:rsidRDefault="00655395" w:rsidP="00655395">
      <w:pPr>
        <w:spacing w:after="120" w:line="240" w:lineRule="auto"/>
        <w:ind w:firstLine="709"/>
        <w:jc w:val="both"/>
        <w:rPr>
          <w:rFonts w:ascii="Times New Roman" w:hAnsi="Times New Roman" w:cs="Times New Roman"/>
          <w:sz w:val="26"/>
          <w:szCs w:val="26"/>
        </w:rPr>
      </w:pPr>
      <w:proofErr w:type="gramStart"/>
      <w:r w:rsidRPr="00655395">
        <w:rPr>
          <w:rFonts w:ascii="Times New Roman" w:hAnsi="Times New Roman" w:cs="Times New Roman"/>
          <w:sz w:val="26"/>
          <w:szCs w:val="26"/>
        </w:rPr>
        <w:t xml:space="preserve">По предварительным расчетам, требующим дополнительной оценки в рамках доработки стратегии, развитие возобновляемой энергетики, приведет к замещению выработки примерно 11 400 / 5 800 млрд. </w:t>
      </w:r>
      <w:proofErr w:type="spellStart"/>
      <w:r w:rsidRPr="00655395">
        <w:rPr>
          <w:rFonts w:ascii="Times New Roman" w:hAnsi="Times New Roman" w:cs="Times New Roman"/>
          <w:sz w:val="26"/>
          <w:szCs w:val="26"/>
        </w:rPr>
        <w:t>кВтч</w:t>
      </w:r>
      <w:proofErr w:type="spellEnd"/>
      <w:r w:rsidRPr="00655395">
        <w:rPr>
          <w:rFonts w:ascii="Times New Roman" w:hAnsi="Times New Roman" w:cs="Times New Roman"/>
          <w:sz w:val="26"/>
          <w:szCs w:val="26"/>
        </w:rPr>
        <w:t xml:space="preserve"> (с учетом ГЭС / без учета ГЭС) в период до 2035 года, что в переводе на газовый эквивалент приведет к вытеснению 1 425 / 725 млрд. кубометров газа с рынка или 42% / 21% от его мировой добычи в</w:t>
      </w:r>
      <w:proofErr w:type="gramEnd"/>
      <w:r w:rsidRPr="00655395">
        <w:rPr>
          <w:rFonts w:ascii="Times New Roman" w:hAnsi="Times New Roman" w:cs="Times New Roman"/>
          <w:sz w:val="26"/>
          <w:szCs w:val="26"/>
        </w:rPr>
        <w:t xml:space="preserve"> 2013 году. Сопутствующий тренд развития электромобилей за тот же период выведет из потребления около 900 млрд. литров бензина ежегодно, что составляет 12,65 млрд. баррелей нефти или 47% от мировой добычи нефти в 2013 году.</w:t>
      </w:r>
    </w:p>
    <w:p w:rsidR="00655395" w:rsidRPr="00655395" w:rsidRDefault="00655395" w:rsidP="00655395">
      <w:pPr>
        <w:spacing w:after="120" w:line="240" w:lineRule="auto"/>
        <w:ind w:firstLine="709"/>
        <w:jc w:val="both"/>
        <w:rPr>
          <w:rFonts w:ascii="Times New Roman" w:hAnsi="Times New Roman" w:cs="Times New Roman"/>
          <w:sz w:val="26"/>
          <w:szCs w:val="26"/>
        </w:rPr>
      </w:pPr>
      <w:r w:rsidRPr="00655395">
        <w:rPr>
          <w:rFonts w:ascii="Times New Roman" w:hAnsi="Times New Roman" w:cs="Times New Roman"/>
          <w:sz w:val="26"/>
          <w:szCs w:val="26"/>
        </w:rPr>
        <w:t xml:space="preserve">В проекте Энергетической стратегии среди факторов, сдерживающих развитие использования генерации на основе ВИЭ, указана ее высокая стоимость и, соответственно, низкая экономическая эффективность. В то же время, за последние годы конкурентоспособность возобновляемой энергетики значительно повысилась. </w:t>
      </w:r>
      <w:proofErr w:type="gramStart"/>
      <w:r w:rsidRPr="00655395">
        <w:rPr>
          <w:rFonts w:ascii="Times New Roman" w:hAnsi="Times New Roman" w:cs="Times New Roman"/>
          <w:sz w:val="26"/>
          <w:szCs w:val="26"/>
        </w:rPr>
        <w:t>Особенно это касается солнечной энергетики, бурное развитие которой в последние 5 лет привело к тому, что отрасль во многих странах уже не нуждается в государственных субсидиях для развития – как в случае распределенной генерации с учетом растущих розничных цен на электроэнергию, так и крупных электростанций, конкурирующих с газовой и угольной генерацией в рамках конкурсов на заключение долгосрочных договоров поставки электроэнергии.</w:t>
      </w:r>
      <w:proofErr w:type="gramEnd"/>
    </w:p>
    <w:p w:rsidR="00655395" w:rsidRPr="00655395" w:rsidRDefault="003C36CB" w:rsidP="00655395">
      <w:pPr>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Как было отмечено выше, с учетом климатических, географических и иных особенностей России следует рассмотреть </w:t>
      </w:r>
      <w:r w:rsidR="00655395" w:rsidRPr="00655395">
        <w:rPr>
          <w:rFonts w:ascii="Times New Roman" w:hAnsi="Times New Roman" w:cs="Times New Roman"/>
          <w:sz w:val="26"/>
          <w:szCs w:val="26"/>
        </w:rPr>
        <w:t xml:space="preserve">наиболее вероятный сценарий развития возобновляемой энергетики и, соответственно, </w:t>
      </w:r>
      <w:r>
        <w:rPr>
          <w:rFonts w:ascii="Times New Roman" w:hAnsi="Times New Roman" w:cs="Times New Roman"/>
          <w:sz w:val="26"/>
          <w:szCs w:val="26"/>
        </w:rPr>
        <w:t xml:space="preserve">возможность ее существенного влияния на структуру топливно-энергетического баланса в стране. </w:t>
      </w:r>
    </w:p>
    <w:p w:rsidR="00A44E5D" w:rsidRPr="00CE5135" w:rsidRDefault="00A44E5D" w:rsidP="00CE5135">
      <w:pPr>
        <w:spacing w:after="120" w:line="240" w:lineRule="auto"/>
        <w:ind w:firstLine="709"/>
        <w:jc w:val="both"/>
        <w:rPr>
          <w:rFonts w:ascii="Times New Roman" w:hAnsi="Times New Roman" w:cs="Times New Roman"/>
          <w:sz w:val="26"/>
          <w:szCs w:val="26"/>
        </w:rPr>
      </w:pPr>
    </w:p>
    <w:p w:rsidR="00A44E5D" w:rsidRDefault="00A44E5D" w:rsidP="00CE5135">
      <w:pPr>
        <w:spacing w:after="120" w:line="240" w:lineRule="auto"/>
        <w:ind w:firstLine="709"/>
        <w:jc w:val="both"/>
        <w:rPr>
          <w:rFonts w:ascii="Times New Roman" w:hAnsi="Times New Roman" w:cs="Times New Roman"/>
          <w:sz w:val="26"/>
          <w:szCs w:val="26"/>
        </w:rPr>
      </w:pPr>
    </w:p>
    <w:p w:rsidR="00B55B7E" w:rsidRDefault="00B55B7E" w:rsidP="00CE5135">
      <w:pPr>
        <w:spacing w:after="120" w:line="240" w:lineRule="auto"/>
        <w:ind w:firstLine="709"/>
        <w:jc w:val="both"/>
        <w:rPr>
          <w:rFonts w:ascii="Times New Roman" w:hAnsi="Times New Roman" w:cs="Times New Roman"/>
          <w:sz w:val="26"/>
          <w:szCs w:val="26"/>
        </w:rPr>
      </w:pPr>
    </w:p>
    <w:p w:rsidR="00B55B7E" w:rsidRDefault="00B55B7E" w:rsidP="00CE5135">
      <w:pPr>
        <w:spacing w:after="120" w:line="240" w:lineRule="auto"/>
        <w:ind w:firstLine="709"/>
        <w:jc w:val="both"/>
        <w:rPr>
          <w:rFonts w:ascii="Times New Roman" w:hAnsi="Times New Roman" w:cs="Times New Roman"/>
          <w:sz w:val="26"/>
          <w:szCs w:val="26"/>
        </w:rPr>
      </w:pPr>
    </w:p>
    <w:p w:rsidR="00B55B7E" w:rsidRDefault="00B55B7E" w:rsidP="00CE5135">
      <w:pPr>
        <w:spacing w:after="120" w:line="240" w:lineRule="auto"/>
        <w:ind w:firstLine="709"/>
        <w:jc w:val="both"/>
        <w:rPr>
          <w:rFonts w:ascii="Times New Roman" w:hAnsi="Times New Roman" w:cs="Times New Roman"/>
          <w:sz w:val="26"/>
          <w:szCs w:val="26"/>
        </w:rPr>
      </w:pPr>
    </w:p>
    <w:p w:rsidR="00B55B7E" w:rsidRDefault="00B55B7E" w:rsidP="00CE5135">
      <w:pPr>
        <w:spacing w:after="120" w:line="240" w:lineRule="auto"/>
        <w:ind w:firstLine="709"/>
        <w:jc w:val="both"/>
        <w:rPr>
          <w:rFonts w:ascii="Times New Roman" w:hAnsi="Times New Roman" w:cs="Times New Roman"/>
          <w:sz w:val="26"/>
          <w:szCs w:val="26"/>
        </w:rPr>
      </w:pPr>
    </w:p>
    <w:p w:rsidR="00B55B7E" w:rsidRPr="00922DFA" w:rsidRDefault="00B55B7E" w:rsidP="00CE5135">
      <w:pPr>
        <w:spacing w:after="120" w:line="240" w:lineRule="auto"/>
        <w:ind w:firstLine="709"/>
        <w:jc w:val="both"/>
        <w:rPr>
          <w:rFonts w:ascii="Times New Roman" w:hAnsi="Times New Roman" w:cs="Times New Roman"/>
          <w:sz w:val="26"/>
          <w:szCs w:val="26"/>
        </w:rPr>
      </w:pPr>
    </w:p>
    <w:p w:rsidR="00A44E5D" w:rsidRPr="000F4260" w:rsidRDefault="00A44E5D" w:rsidP="000F4260">
      <w:pPr>
        <w:pStyle w:val="1"/>
        <w:jc w:val="both"/>
        <w:rPr>
          <w:rFonts w:ascii="Times New Roman" w:hAnsi="Times New Roman" w:cs="Times New Roman"/>
          <w:color w:val="1F497D" w:themeColor="text2"/>
        </w:rPr>
      </w:pPr>
      <w:bookmarkStart w:id="7" w:name="_Toc431474222"/>
      <w:r w:rsidRPr="00B55B7E">
        <w:rPr>
          <w:rFonts w:ascii="Times New Roman" w:hAnsi="Times New Roman" w:cs="Times New Roman"/>
          <w:color w:val="1F497D" w:themeColor="text2"/>
        </w:rPr>
        <w:lastRenderedPageBreak/>
        <w:t>Эффективность корпоративной структуры российского нефтегазового рынка, уровня конкуренции и направлений развития</w:t>
      </w:r>
      <w:bookmarkEnd w:id="7"/>
    </w:p>
    <w:p w:rsidR="00A44E5D" w:rsidRPr="00922DFA" w:rsidRDefault="00A44E5D" w:rsidP="000F4260">
      <w:pPr>
        <w:pStyle w:val="1"/>
        <w:jc w:val="both"/>
        <w:rPr>
          <w:rFonts w:ascii="Times New Roman" w:hAnsi="Times New Roman" w:cs="Times New Roman"/>
          <w:i/>
          <w:color w:val="1F497D" w:themeColor="text2"/>
          <w:sz w:val="26"/>
          <w:szCs w:val="26"/>
        </w:rPr>
      </w:pPr>
      <w:bookmarkStart w:id="8" w:name="_Toc431474223"/>
      <w:r w:rsidRPr="00922DFA">
        <w:rPr>
          <w:rFonts w:ascii="Times New Roman" w:hAnsi="Times New Roman" w:cs="Times New Roman"/>
          <w:i/>
          <w:color w:val="1F497D" w:themeColor="text2"/>
          <w:sz w:val="26"/>
          <w:szCs w:val="26"/>
        </w:rPr>
        <w:t>Тенденции развития организационной структуры в нефтяной отрасли</w:t>
      </w:r>
      <w:bookmarkEnd w:id="8"/>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 xml:space="preserve">Организационная структура нефтяной отрасли в целом сохраняет основные черты, сложившиеся в ходе ее реформирования в 1990-е гг.: доминирование ВИНК во всех сегментах отрасли, за исключением розничной реализации нефтепродуктов на АЗС, выделение в независимый естественно-монопольной сегмент транспортировки нефти и нефтепродуктов </w:t>
      </w:r>
      <w:proofErr w:type="gramStart"/>
      <w:r w:rsidRPr="00CE5135">
        <w:rPr>
          <w:rFonts w:ascii="Times New Roman" w:hAnsi="Times New Roman" w:cs="Times New Roman"/>
          <w:sz w:val="26"/>
          <w:szCs w:val="26"/>
        </w:rPr>
        <w:t>по</w:t>
      </w:r>
      <w:proofErr w:type="gramEnd"/>
      <w:r w:rsidRPr="00CE5135">
        <w:rPr>
          <w:rFonts w:ascii="Times New Roman" w:hAnsi="Times New Roman" w:cs="Times New Roman"/>
          <w:sz w:val="26"/>
          <w:szCs w:val="26"/>
        </w:rPr>
        <w:t xml:space="preserve"> магистральным нефтепроводов с государственным регулированием </w:t>
      </w:r>
      <w:proofErr w:type="spellStart"/>
      <w:r w:rsidRPr="00CE5135">
        <w:rPr>
          <w:rFonts w:ascii="Times New Roman" w:hAnsi="Times New Roman" w:cs="Times New Roman"/>
          <w:sz w:val="26"/>
          <w:szCs w:val="26"/>
        </w:rPr>
        <w:t>тарифообразования</w:t>
      </w:r>
      <w:proofErr w:type="spellEnd"/>
      <w:r w:rsidRPr="00CE5135">
        <w:rPr>
          <w:rFonts w:ascii="Times New Roman" w:hAnsi="Times New Roman" w:cs="Times New Roman"/>
          <w:sz w:val="26"/>
          <w:szCs w:val="26"/>
        </w:rPr>
        <w:t xml:space="preserve"> на его услуги. </w:t>
      </w:r>
      <w:proofErr w:type="gramStart"/>
      <w:r w:rsidRPr="00CE5135">
        <w:rPr>
          <w:rFonts w:ascii="Times New Roman" w:hAnsi="Times New Roman" w:cs="Times New Roman"/>
          <w:sz w:val="26"/>
          <w:szCs w:val="26"/>
        </w:rPr>
        <w:t>Ценообразование на оптовом рынке нефти, а также оптовом и розничном рынках нефтепродуктов остается рыночным, и настраивается государством только по средством налогового и таможенно-тарифного регулирования.</w:t>
      </w:r>
      <w:proofErr w:type="gramEnd"/>
      <w:r w:rsidRPr="00CE5135">
        <w:rPr>
          <w:rFonts w:ascii="Times New Roman" w:hAnsi="Times New Roman" w:cs="Times New Roman"/>
          <w:sz w:val="26"/>
          <w:szCs w:val="26"/>
        </w:rPr>
        <w:t xml:space="preserve"> Все хозяйствующие субъекты имеют возможность свободно поставлять нефть и нефтепродукты на экспорт по рыночным ценам.</w:t>
      </w:r>
    </w:p>
    <w:p w:rsidR="00A44E5D" w:rsidRPr="00CE5135"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 xml:space="preserve">За счет относительной стабилизации или даже снижения добычи нефти большинством ВИНК по итогам 2014 г. доля независимых производителей нефти в суммарной добычи нефти в России практически вернулась на уровень 2000 г., составив 10,4% против 6,3% в 2010 году. Препятствием для роста доли независимых производителей является </w:t>
      </w:r>
      <w:proofErr w:type="spellStart"/>
      <w:r w:rsidRPr="00CE5135">
        <w:rPr>
          <w:rFonts w:ascii="Times New Roman" w:hAnsi="Times New Roman" w:cs="Times New Roman"/>
          <w:sz w:val="26"/>
          <w:szCs w:val="26"/>
        </w:rPr>
        <w:t>олигопольный</w:t>
      </w:r>
      <w:proofErr w:type="spellEnd"/>
      <w:r w:rsidRPr="00CE5135">
        <w:rPr>
          <w:rFonts w:ascii="Times New Roman" w:hAnsi="Times New Roman" w:cs="Times New Roman"/>
          <w:sz w:val="26"/>
          <w:szCs w:val="26"/>
        </w:rPr>
        <w:t xml:space="preserve"> характер отрасли, при котором шесть крупнейших ВИНК контролируют основные месторождения нефти и почти всю нефтепереработку.</w:t>
      </w:r>
    </w:p>
    <w:p w:rsidR="00A44E5D" w:rsidRDefault="00A44E5D" w:rsidP="00CE5135">
      <w:pPr>
        <w:spacing w:after="120" w:line="240" w:lineRule="auto"/>
        <w:ind w:firstLine="709"/>
        <w:jc w:val="both"/>
        <w:rPr>
          <w:rFonts w:ascii="Times New Roman" w:hAnsi="Times New Roman" w:cs="Times New Roman"/>
          <w:sz w:val="26"/>
          <w:szCs w:val="26"/>
        </w:rPr>
      </w:pPr>
      <w:r w:rsidRPr="00CE5135">
        <w:rPr>
          <w:rFonts w:ascii="Times New Roman" w:hAnsi="Times New Roman" w:cs="Times New Roman"/>
          <w:sz w:val="26"/>
          <w:szCs w:val="26"/>
        </w:rPr>
        <w:t xml:space="preserve">Несмотря на выраженно негативный геополитический и макроэкономический фон, в России сохраняется также и высокая доля присутствия иностранного капитала в добыче нефти, однако преимущественно в виде стратегических или портфельных инвестиций в акции российских ВИНК, а не прямых инвестиций в добывающие активы. Совокупная доля иностранных инвестиций в акционерном капитале ВИНК составляет на сегодняшний день 26%. В общем случае доля иностранного капитала оценивалась как объем депонированных ADR/GDR (депозитарных расписок) по отношению к общему количеству  акций.  В случае ОАО «НК «Роснефть» учтена также доля BP </w:t>
      </w:r>
      <w:proofErr w:type="spellStart"/>
      <w:r w:rsidRPr="00CE5135">
        <w:rPr>
          <w:rFonts w:ascii="Times New Roman" w:hAnsi="Times New Roman" w:cs="Times New Roman"/>
          <w:sz w:val="26"/>
          <w:szCs w:val="26"/>
        </w:rPr>
        <w:t>Russian</w:t>
      </w:r>
      <w:proofErr w:type="spellEnd"/>
      <w:r w:rsidRPr="00CE5135">
        <w:rPr>
          <w:rFonts w:ascii="Times New Roman" w:hAnsi="Times New Roman" w:cs="Times New Roman"/>
          <w:sz w:val="26"/>
          <w:szCs w:val="26"/>
        </w:rPr>
        <w:t xml:space="preserve"> </w:t>
      </w:r>
      <w:proofErr w:type="spellStart"/>
      <w:r w:rsidRPr="00CE5135">
        <w:rPr>
          <w:rFonts w:ascii="Times New Roman" w:hAnsi="Times New Roman" w:cs="Times New Roman"/>
          <w:sz w:val="26"/>
          <w:szCs w:val="26"/>
        </w:rPr>
        <w:t>Investments</w:t>
      </w:r>
      <w:proofErr w:type="spellEnd"/>
      <w:r w:rsidRPr="00CE5135">
        <w:rPr>
          <w:rFonts w:ascii="Times New Roman" w:hAnsi="Times New Roman" w:cs="Times New Roman"/>
          <w:sz w:val="26"/>
          <w:szCs w:val="26"/>
        </w:rPr>
        <w:t xml:space="preserve"> </w:t>
      </w:r>
      <w:proofErr w:type="spellStart"/>
      <w:r w:rsidRPr="00CE5135">
        <w:rPr>
          <w:rFonts w:ascii="Times New Roman" w:hAnsi="Times New Roman" w:cs="Times New Roman"/>
          <w:sz w:val="26"/>
          <w:szCs w:val="26"/>
        </w:rPr>
        <w:t>Limited</w:t>
      </w:r>
      <w:proofErr w:type="spellEnd"/>
      <w:r w:rsidRPr="00CE5135">
        <w:rPr>
          <w:rFonts w:ascii="Times New Roman" w:hAnsi="Times New Roman" w:cs="Times New Roman"/>
          <w:sz w:val="26"/>
          <w:szCs w:val="26"/>
        </w:rPr>
        <w:t xml:space="preserve">  в капитале компании. Доля иностранного капитала в ОАО «Газпром нефть» определялась с учетом доли иностранного капитала в материнском обществе - ПАО «Газпром» (контролирует 95,68% ОАО «Газпром нефть»). </w:t>
      </w:r>
    </w:p>
    <w:p w:rsidR="00B55B7E" w:rsidRPr="00CE5135" w:rsidRDefault="00B55B7E" w:rsidP="00CE5135">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 xml:space="preserve">Ярко выраженной тенденцией развития организационной структуры нефтяной отрасли в 2004-2013 гг. было поступательное огосударствление за счет активных сделок слияний и поглощений со стороны компаний с контрольным государственным участием ОАО «НК «Роснефть» и ПАО «Газпром». Если взять только эти две компании, включая дочернюю по отношению к «Газпрому» ОАО «Газпром нефть», то их суммарная доля в добыче нефти в 2014 г. составляет 50,4%. В 2014 г. этот процесс был усилен </w:t>
      </w:r>
      <w:proofErr w:type="spellStart"/>
      <w:r w:rsidRPr="00B55B7E">
        <w:rPr>
          <w:rFonts w:ascii="Times New Roman" w:hAnsi="Times New Roman" w:cs="Times New Roman"/>
          <w:sz w:val="26"/>
          <w:szCs w:val="26"/>
        </w:rPr>
        <w:t>деприватизацией</w:t>
      </w:r>
      <w:proofErr w:type="spellEnd"/>
      <w:r w:rsidRPr="00B55B7E">
        <w:rPr>
          <w:rFonts w:ascii="Times New Roman" w:hAnsi="Times New Roman" w:cs="Times New Roman"/>
          <w:sz w:val="26"/>
          <w:szCs w:val="26"/>
        </w:rPr>
        <w:t xml:space="preserve"> ОАО «</w:t>
      </w:r>
      <w:proofErr w:type="spellStart"/>
      <w:r w:rsidRPr="00B55B7E">
        <w:rPr>
          <w:rFonts w:ascii="Times New Roman" w:hAnsi="Times New Roman" w:cs="Times New Roman"/>
          <w:sz w:val="26"/>
          <w:szCs w:val="26"/>
        </w:rPr>
        <w:t>Башнефть</w:t>
      </w:r>
      <w:proofErr w:type="spellEnd"/>
      <w:r w:rsidRPr="00B55B7E">
        <w:rPr>
          <w:rFonts w:ascii="Times New Roman" w:hAnsi="Times New Roman" w:cs="Times New Roman"/>
          <w:sz w:val="26"/>
          <w:szCs w:val="26"/>
        </w:rPr>
        <w:t>» (3,4% в суммарной добыче в России). Несмотря на то, что процесс огосударствления отрасли не принял необратимый характер, в случае его дальнейшего развития оно приведет к существенному сужению конкуренции в нефтяной отрасли за счет роста неоправданной концентрации добывающих и нефтеперерабатывающих активов.</w:t>
      </w:r>
    </w:p>
    <w:p w:rsidR="00A44E5D" w:rsidRPr="00A44E5D" w:rsidRDefault="00A44E5D" w:rsidP="00A44E5D">
      <w:pPr>
        <w:pBdr>
          <w:bottom w:val="single" w:sz="12" w:space="1" w:color="0F5B68"/>
        </w:pBdr>
        <w:spacing w:after="0" w:line="240" w:lineRule="auto"/>
        <w:outlineLvl w:val="0"/>
        <w:rPr>
          <w:rFonts w:ascii="Times New Roman" w:eastAsia="MS Gothic" w:hAnsi="Times New Roman" w:cs="Times New Roman"/>
          <w:b/>
          <w:bCs/>
          <w:color w:val="062328"/>
          <w:sz w:val="24"/>
          <w:szCs w:val="24"/>
        </w:rPr>
      </w:pPr>
      <w:bookmarkStart w:id="9" w:name="_Toc431467643"/>
      <w:bookmarkStart w:id="10" w:name="_Toc431474224"/>
      <w:r w:rsidRPr="00A44E5D">
        <w:rPr>
          <w:rFonts w:ascii="Times New Roman" w:eastAsia="MS Gothic" w:hAnsi="Times New Roman" w:cs="Times New Roman"/>
          <w:b/>
          <w:bCs/>
          <w:color w:val="062328"/>
          <w:sz w:val="24"/>
          <w:szCs w:val="24"/>
        </w:rPr>
        <w:lastRenderedPageBreak/>
        <w:t>Таблица 1. Доля иностранного капитала в акционерном капитале ВИНК</w:t>
      </w:r>
      <w:bookmarkEnd w:id="9"/>
      <w:bookmarkEnd w:id="10"/>
    </w:p>
    <w:tbl>
      <w:tblPr>
        <w:tblStyle w:val="-11"/>
        <w:tblW w:w="9457" w:type="dxa"/>
        <w:shd w:val="clear" w:color="auto" w:fill="C6D9F1" w:themeFill="text2" w:themeFillTint="33"/>
        <w:tblLook w:val="04A0" w:firstRow="1" w:lastRow="0" w:firstColumn="1" w:lastColumn="0" w:noHBand="0" w:noVBand="1"/>
      </w:tblPr>
      <w:tblGrid>
        <w:gridCol w:w="2884"/>
        <w:gridCol w:w="2247"/>
        <w:gridCol w:w="1885"/>
        <w:gridCol w:w="2441"/>
      </w:tblGrid>
      <w:tr w:rsidR="00A44E5D" w:rsidRPr="00A44E5D" w:rsidTr="007C67F6">
        <w:trPr>
          <w:cnfStyle w:val="100000000000" w:firstRow="1" w:lastRow="0" w:firstColumn="0" w:lastColumn="0" w:oddVBand="0" w:evenVBand="0" w:oddHBand="0"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single" w:sz="4" w:space="0" w:color="FFFFFF"/>
            </w:tcBorders>
            <w:shd w:val="clear" w:color="auto" w:fill="C6D9F1" w:themeFill="text2" w:themeFillTint="33"/>
            <w:vAlign w:val="center"/>
            <w:hideMark/>
          </w:tcPr>
          <w:p w:rsidR="00A44E5D" w:rsidRPr="00A44E5D" w:rsidRDefault="00A44E5D" w:rsidP="00A44E5D">
            <w:pPr>
              <w:pBdr>
                <w:bottom w:val="single" w:sz="12" w:space="1" w:color="0F5B68"/>
              </w:pBdr>
              <w:jc w:val="both"/>
              <w:outlineLvl w:val="0"/>
              <w:rPr>
                <w:rFonts w:ascii="Times New Roman" w:eastAsia="MS Gothic" w:hAnsi="Times New Roman"/>
                <w:color w:val="062328"/>
                <w:sz w:val="24"/>
                <w:szCs w:val="24"/>
              </w:rPr>
            </w:pPr>
            <w:bookmarkStart w:id="11" w:name="_Toc431467644"/>
            <w:bookmarkStart w:id="12" w:name="_Toc431474225"/>
            <w:r w:rsidRPr="00A44E5D">
              <w:rPr>
                <w:rFonts w:ascii="Times New Roman" w:eastAsia="MS Gothic" w:hAnsi="Times New Roman"/>
                <w:color w:val="062328"/>
                <w:sz w:val="24"/>
                <w:szCs w:val="24"/>
              </w:rPr>
              <w:t>Компания</w:t>
            </w:r>
            <w:bookmarkEnd w:id="11"/>
            <w:bookmarkEnd w:id="12"/>
          </w:p>
        </w:tc>
        <w:tc>
          <w:tcPr>
            <w:tcW w:w="2285" w:type="dxa"/>
            <w:tcBorders>
              <w:top w:val="nil"/>
              <w:bottom w:val="single" w:sz="4" w:space="0" w:color="FFFFFF"/>
            </w:tcBorders>
            <w:shd w:val="clear" w:color="auto" w:fill="C6D9F1" w:themeFill="text2" w:themeFillTint="33"/>
            <w:vAlign w:val="center"/>
            <w:hideMark/>
          </w:tcPr>
          <w:p w:rsidR="00A44E5D" w:rsidRPr="00A44E5D" w:rsidRDefault="00A44E5D" w:rsidP="00A44E5D">
            <w:pPr>
              <w:pBdr>
                <w:bottom w:val="single" w:sz="12" w:space="1" w:color="0F5B68"/>
              </w:pBdr>
              <w:jc w:val="both"/>
              <w:outlineLvl w:val="0"/>
              <w:cnfStyle w:val="100000000000" w:firstRow="1" w:lastRow="0" w:firstColumn="0" w:lastColumn="0" w:oddVBand="0" w:evenVBand="0" w:oddHBand="0" w:evenHBand="0" w:firstRowFirstColumn="0" w:firstRowLastColumn="0" w:lastRowFirstColumn="0" w:lastRowLastColumn="0"/>
              <w:rPr>
                <w:rFonts w:ascii="Times New Roman" w:eastAsia="MS Gothic" w:hAnsi="Times New Roman"/>
                <w:sz w:val="24"/>
                <w:szCs w:val="24"/>
              </w:rPr>
            </w:pPr>
            <w:bookmarkStart w:id="13" w:name="_Toc431467645"/>
            <w:bookmarkStart w:id="14" w:name="_Toc431474226"/>
            <w:r w:rsidRPr="00A44E5D">
              <w:rPr>
                <w:rFonts w:ascii="Times New Roman" w:eastAsia="MS Gothic" w:hAnsi="Times New Roman"/>
                <w:sz w:val="24"/>
                <w:szCs w:val="24"/>
              </w:rPr>
              <w:t>Иностранный капитал (минимальная оценка по ADR/GDR)</w:t>
            </w:r>
            <w:bookmarkEnd w:id="13"/>
            <w:bookmarkEnd w:id="14"/>
          </w:p>
        </w:tc>
        <w:tc>
          <w:tcPr>
            <w:tcW w:w="1746" w:type="dxa"/>
            <w:tcBorders>
              <w:top w:val="nil"/>
              <w:bottom w:val="single" w:sz="4" w:space="0" w:color="FFFFFF"/>
            </w:tcBorders>
            <w:shd w:val="clear" w:color="auto" w:fill="C6D9F1" w:themeFill="text2" w:themeFillTint="33"/>
            <w:vAlign w:val="center"/>
            <w:hideMark/>
          </w:tcPr>
          <w:p w:rsidR="00A44E5D" w:rsidRPr="00A44E5D" w:rsidRDefault="00A44E5D" w:rsidP="00A44E5D">
            <w:pPr>
              <w:pBdr>
                <w:bottom w:val="single" w:sz="12" w:space="1" w:color="0F5B68"/>
              </w:pBdr>
              <w:jc w:val="both"/>
              <w:outlineLvl w:val="0"/>
              <w:cnfStyle w:val="100000000000" w:firstRow="1" w:lastRow="0" w:firstColumn="0" w:lastColumn="0" w:oddVBand="0" w:evenVBand="0" w:oddHBand="0" w:evenHBand="0" w:firstRowFirstColumn="0" w:firstRowLastColumn="0" w:lastRowFirstColumn="0" w:lastRowLastColumn="0"/>
              <w:rPr>
                <w:rFonts w:ascii="Times New Roman" w:eastAsia="MS Gothic" w:hAnsi="Times New Roman"/>
                <w:sz w:val="24"/>
                <w:szCs w:val="24"/>
              </w:rPr>
            </w:pPr>
            <w:bookmarkStart w:id="15" w:name="_Toc431467646"/>
            <w:bookmarkStart w:id="16" w:name="_Toc431474227"/>
            <w:r w:rsidRPr="00A44E5D">
              <w:rPr>
                <w:rFonts w:ascii="Times New Roman" w:eastAsia="MS Gothic" w:hAnsi="Times New Roman"/>
                <w:sz w:val="24"/>
                <w:szCs w:val="24"/>
              </w:rPr>
              <w:t xml:space="preserve">Рыночная капитализация на 24.08.2015, </w:t>
            </w:r>
            <w:proofErr w:type="gramStart"/>
            <w:r w:rsidRPr="00A44E5D">
              <w:rPr>
                <w:rFonts w:ascii="Times New Roman" w:eastAsia="MS Gothic" w:hAnsi="Times New Roman"/>
                <w:sz w:val="24"/>
                <w:szCs w:val="24"/>
              </w:rPr>
              <w:t>млрд</w:t>
            </w:r>
            <w:proofErr w:type="gramEnd"/>
            <w:r w:rsidRPr="00A44E5D">
              <w:rPr>
                <w:rFonts w:ascii="Times New Roman" w:eastAsia="MS Gothic" w:hAnsi="Times New Roman"/>
                <w:sz w:val="24"/>
                <w:szCs w:val="24"/>
              </w:rPr>
              <w:t xml:space="preserve"> долл.</w:t>
            </w:r>
            <w:bookmarkEnd w:id="15"/>
            <w:bookmarkEnd w:id="16"/>
          </w:p>
        </w:tc>
        <w:tc>
          <w:tcPr>
            <w:tcW w:w="2483" w:type="dxa"/>
            <w:tcBorders>
              <w:top w:val="nil"/>
              <w:bottom w:val="single" w:sz="4" w:space="0" w:color="FFFFFF"/>
            </w:tcBorders>
            <w:shd w:val="clear" w:color="auto" w:fill="C6D9F1" w:themeFill="text2" w:themeFillTint="33"/>
            <w:vAlign w:val="center"/>
            <w:hideMark/>
          </w:tcPr>
          <w:p w:rsidR="00A44E5D" w:rsidRPr="00A44E5D" w:rsidRDefault="00A44E5D" w:rsidP="00A44E5D">
            <w:pPr>
              <w:pBdr>
                <w:bottom w:val="single" w:sz="12" w:space="1" w:color="0F5B68"/>
              </w:pBdr>
              <w:jc w:val="both"/>
              <w:outlineLvl w:val="0"/>
              <w:cnfStyle w:val="100000000000" w:firstRow="1" w:lastRow="0" w:firstColumn="0" w:lastColumn="0" w:oddVBand="0" w:evenVBand="0" w:oddHBand="0" w:evenHBand="0" w:firstRowFirstColumn="0" w:firstRowLastColumn="0" w:lastRowFirstColumn="0" w:lastRowLastColumn="0"/>
              <w:rPr>
                <w:rFonts w:ascii="Times New Roman" w:eastAsia="MS Gothic" w:hAnsi="Times New Roman"/>
                <w:sz w:val="24"/>
                <w:szCs w:val="24"/>
              </w:rPr>
            </w:pPr>
            <w:bookmarkStart w:id="17" w:name="_Toc431467647"/>
            <w:bookmarkStart w:id="18" w:name="_Toc431474228"/>
            <w:r w:rsidRPr="00A44E5D">
              <w:rPr>
                <w:rFonts w:ascii="Times New Roman" w:eastAsia="MS Gothic" w:hAnsi="Times New Roman"/>
                <w:sz w:val="24"/>
                <w:szCs w:val="24"/>
              </w:rPr>
              <w:t>Иностранный капитал в капитализации,</w:t>
            </w:r>
            <w:bookmarkEnd w:id="17"/>
            <w:bookmarkEnd w:id="18"/>
          </w:p>
          <w:p w:rsidR="00A44E5D" w:rsidRPr="00A44E5D" w:rsidRDefault="00A44E5D" w:rsidP="00A44E5D">
            <w:pPr>
              <w:pBdr>
                <w:bottom w:val="single" w:sz="12" w:space="1" w:color="0F5B68"/>
              </w:pBdr>
              <w:jc w:val="both"/>
              <w:outlineLvl w:val="0"/>
              <w:cnfStyle w:val="100000000000" w:firstRow="1" w:lastRow="0" w:firstColumn="0" w:lastColumn="0" w:oddVBand="0" w:evenVBand="0" w:oddHBand="0" w:evenHBand="0" w:firstRowFirstColumn="0" w:firstRowLastColumn="0" w:lastRowFirstColumn="0" w:lastRowLastColumn="0"/>
              <w:rPr>
                <w:rFonts w:ascii="Times New Roman" w:eastAsia="MS Gothic" w:hAnsi="Times New Roman"/>
                <w:sz w:val="24"/>
                <w:szCs w:val="24"/>
              </w:rPr>
            </w:pPr>
            <w:bookmarkStart w:id="19" w:name="_Toc431467648"/>
            <w:bookmarkStart w:id="20" w:name="_Toc431474229"/>
            <w:proofErr w:type="gramStart"/>
            <w:r w:rsidRPr="00A44E5D">
              <w:rPr>
                <w:rFonts w:ascii="Times New Roman" w:eastAsia="MS Gothic" w:hAnsi="Times New Roman"/>
                <w:sz w:val="24"/>
                <w:szCs w:val="24"/>
              </w:rPr>
              <w:t>млрд</w:t>
            </w:r>
            <w:proofErr w:type="gramEnd"/>
            <w:r w:rsidRPr="00A44E5D">
              <w:rPr>
                <w:rFonts w:ascii="Times New Roman" w:eastAsia="MS Gothic" w:hAnsi="Times New Roman"/>
                <w:sz w:val="24"/>
                <w:szCs w:val="24"/>
              </w:rPr>
              <w:t xml:space="preserve"> долл.</w:t>
            </w:r>
            <w:bookmarkEnd w:id="19"/>
            <w:bookmarkEnd w:id="20"/>
          </w:p>
        </w:tc>
      </w:tr>
      <w:tr w:rsidR="00A44E5D" w:rsidRPr="00A44E5D" w:rsidTr="007C67F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FFFFFF"/>
              <w:bottom w:val="single" w:sz="4" w:space="0" w:color="FFFFFF"/>
            </w:tcBorders>
            <w:shd w:val="clear" w:color="auto" w:fill="C6D9F1" w:themeFill="text2" w:themeFillTint="33"/>
            <w:hideMark/>
          </w:tcPr>
          <w:p w:rsidR="00A44E5D" w:rsidRPr="00A44E5D" w:rsidRDefault="00A44E5D" w:rsidP="007C67F6">
            <w:pPr>
              <w:pBdr>
                <w:bottom w:val="single" w:sz="12" w:space="1" w:color="0F5B68"/>
              </w:pBdr>
              <w:ind w:firstLine="0"/>
              <w:jc w:val="both"/>
              <w:outlineLvl w:val="0"/>
              <w:rPr>
                <w:rFonts w:ascii="Times New Roman" w:eastAsia="MS Gothic" w:hAnsi="Times New Roman"/>
                <w:b/>
                <w:bCs/>
                <w:color w:val="062328"/>
                <w:sz w:val="24"/>
                <w:szCs w:val="24"/>
              </w:rPr>
            </w:pPr>
            <w:bookmarkStart w:id="21" w:name="_Toc431467649"/>
            <w:bookmarkStart w:id="22" w:name="_Toc431474230"/>
            <w:r w:rsidRPr="00A44E5D">
              <w:rPr>
                <w:rFonts w:ascii="Times New Roman" w:eastAsia="MS Gothic" w:hAnsi="Times New Roman"/>
                <w:b/>
                <w:bCs/>
                <w:color w:val="062328"/>
                <w:sz w:val="24"/>
                <w:szCs w:val="24"/>
              </w:rPr>
              <w:t>ОАО «НК «Роснефть»</w:t>
            </w:r>
            <w:bookmarkEnd w:id="21"/>
            <w:bookmarkEnd w:id="22"/>
          </w:p>
        </w:tc>
        <w:tc>
          <w:tcPr>
            <w:tcW w:w="2285" w:type="dxa"/>
            <w:tcBorders>
              <w:top w:val="single" w:sz="4" w:space="0" w:color="FFFFFF"/>
              <w:bottom w:val="single" w:sz="4" w:space="0" w:color="FFFFFF"/>
            </w:tcBorders>
            <w:shd w:val="clear" w:color="auto" w:fill="C6D9F1" w:themeFill="text2" w:themeFillTint="33"/>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23" w:name="_Toc431467650"/>
            <w:bookmarkStart w:id="24" w:name="_Toc431474231"/>
            <w:r w:rsidRPr="00A44E5D">
              <w:rPr>
                <w:rFonts w:ascii="Times New Roman" w:eastAsia="MS Gothic" w:hAnsi="Times New Roman"/>
                <w:bCs/>
                <w:sz w:val="24"/>
                <w:szCs w:val="24"/>
              </w:rPr>
              <w:t>27,25%</w:t>
            </w:r>
            <w:bookmarkEnd w:id="23"/>
            <w:bookmarkEnd w:id="24"/>
          </w:p>
        </w:tc>
        <w:tc>
          <w:tcPr>
            <w:tcW w:w="1746" w:type="dxa"/>
            <w:tcBorders>
              <w:top w:val="single" w:sz="4" w:space="0" w:color="FFFFFF"/>
              <w:bottom w:val="single" w:sz="4" w:space="0" w:color="FFFFFF"/>
            </w:tcBorders>
            <w:shd w:val="clear" w:color="auto" w:fill="C6D9F1" w:themeFill="text2" w:themeFillTint="33"/>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25" w:name="_Toc431467651"/>
            <w:bookmarkStart w:id="26" w:name="_Toc431474232"/>
            <w:r w:rsidRPr="00A44E5D">
              <w:rPr>
                <w:rFonts w:ascii="Times New Roman" w:eastAsia="MS Gothic" w:hAnsi="Times New Roman"/>
                <w:bCs/>
                <w:sz w:val="24"/>
                <w:szCs w:val="24"/>
              </w:rPr>
              <w:t>46,5</w:t>
            </w:r>
            <w:bookmarkEnd w:id="25"/>
            <w:bookmarkEnd w:id="26"/>
          </w:p>
        </w:tc>
        <w:tc>
          <w:tcPr>
            <w:tcW w:w="2483" w:type="dxa"/>
            <w:tcBorders>
              <w:top w:val="single" w:sz="4" w:space="0" w:color="FFFFFF"/>
              <w:bottom w:val="single" w:sz="4" w:space="0" w:color="FFFFFF"/>
            </w:tcBorders>
            <w:shd w:val="clear" w:color="auto" w:fill="C6D9F1" w:themeFill="text2" w:themeFillTint="33"/>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27" w:name="_Toc431467652"/>
            <w:bookmarkStart w:id="28" w:name="_Toc431474233"/>
            <w:r w:rsidRPr="00A44E5D">
              <w:rPr>
                <w:rFonts w:ascii="Times New Roman" w:eastAsia="MS Gothic" w:hAnsi="Times New Roman"/>
                <w:bCs/>
                <w:sz w:val="24"/>
                <w:szCs w:val="24"/>
              </w:rPr>
              <w:t>12,7</w:t>
            </w:r>
            <w:bookmarkEnd w:id="27"/>
            <w:bookmarkEnd w:id="28"/>
          </w:p>
        </w:tc>
      </w:tr>
      <w:tr w:rsidR="00A44E5D" w:rsidRPr="00A44E5D" w:rsidTr="007C67F6">
        <w:trPr>
          <w:trHeight w:val="31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FFFFFF"/>
              <w:bottom w:val="single" w:sz="4" w:space="0" w:color="FFFFFF"/>
            </w:tcBorders>
            <w:shd w:val="clear" w:color="auto" w:fill="C6D9F1" w:themeFill="text2" w:themeFillTint="33"/>
            <w:hideMark/>
          </w:tcPr>
          <w:p w:rsidR="00A44E5D" w:rsidRPr="00A44E5D" w:rsidRDefault="00A44E5D" w:rsidP="007C67F6">
            <w:pPr>
              <w:pBdr>
                <w:bottom w:val="single" w:sz="12" w:space="1" w:color="0F5B68"/>
              </w:pBdr>
              <w:ind w:firstLine="0"/>
              <w:jc w:val="both"/>
              <w:outlineLvl w:val="0"/>
              <w:rPr>
                <w:rFonts w:ascii="Times New Roman" w:eastAsia="MS Gothic" w:hAnsi="Times New Roman"/>
                <w:b/>
                <w:bCs/>
                <w:color w:val="062328"/>
                <w:sz w:val="24"/>
                <w:szCs w:val="24"/>
              </w:rPr>
            </w:pPr>
            <w:bookmarkStart w:id="29" w:name="_Toc431467653"/>
            <w:bookmarkStart w:id="30" w:name="_Toc431474234"/>
            <w:r w:rsidRPr="00A44E5D">
              <w:rPr>
                <w:rFonts w:ascii="Times New Roman" w:eastAsia="MS Gothic" w:hAnsi="Times New Roman"/>
                <w:b/>
                <w:bCs/>
                <w:color w:val="062328"/>
                <w:sz w:val="24"/>
                <w:szCs w:val="24"/>
              </w:rPr>
              <w:t>ПАО «ЛУКОЙЛ»</w:t>
            </w:r>
            <w:bookmarkEnd w:id="29"/>
            <w:bookmarkEnd w:id="30"/>
          </w:p>
        </w:tc>
        <w:tc>
          <w:tcPr>
            <w:tcW w:w="2285" w:type="dxa"/>
            <w:tcBorders>
              <w:top w:val="single" w:sz="4" w:space="0" w:color="FFFFFF"/>
              <w:bottom w:val="single" w:sz="4" w:space="0" w:color="FFFFFF"/>
            </w:tcBorders>
            <w:shd w:val="clear" w:color="auto" w:fill="DBE5F1" w:themeFill="accent1" w:themeFillTint="33"/>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31" w:name="_Toc431467654"/>
            <w:bookmarkStart w:id="32" w:name="_Toc431474235"/>
            <w:r w:rsidRPr="00A44E5D">
              <w:rPr>
                <w:rFonts w:ascii="Times New Roman" w:eastAsia="MS Gothic" w:hAnsi="Times New Roman"/>
                <w:bCs/>
                <w:sz w:val="24"/>
                <w:szCs w:val="24"/>
              </w:rPr>
              <w:t>34,02%</w:t>
            </w:r>
            <w:bookmarkEnd w:id="31"/>
            <w:bookmarkEnd w:id="32"/>
          </w:p>
        </w:tc>
        <w:tc>
          <w:tcPr>
            <w:tcW w:w="1746" w:type="dxa"/>
            <w:tcBorders>
              <w:top w:val="single" w:sz="4" w:space="0" w:color="FFFFFF"/>
              <w:bottom w:val="single" w:sz="4" w:space="0" w:color="FFFFFF"/>
            </w:tcBorders>
            <w:shd w:val="clear" w:color="auto" w:fill="DBE5F1" w:themeFill="accent1" w:themeFillTint="33"/>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33" w:name="_Toc431467655"/>
            <w:bookmarkStart w:id="34" w:name="_Toc431474236"/>
            <w:r w:rsidRPr="00A44E5D">
              <w:rPr>
                <w:rFonts w:ascii="Times New Roman" w:eastAsia="MS Gothic" w:hAnsi="Times New Roman"/>
                <w:bCs/>
                <w:sz w:val="24"/>
                <w:szCs w:val="24"/>
              </w:rPr>
              <w:t>40,3</w:t>
            </w:r>
            <w:bookmarkEnd w:id="33"/>
            <w:bookmarkEnd w:id="34"/>
          </w:p>
        </w:tc>
        <w:tc>
          <w:tcPr>
            <w:tcW w:w="2483" w:type="dxa"/>
            <w:tcBorders>
              <w:top w:val="single" w:sz="4" w:space="0" w:color="FFFFFF"/>
              <w:bottom w:val="single" w:sz="4" w:space="0" w:color="FFFFFF"/>
            </w:tcBorders>
            <w:shd w:val="clear" w:color="auto" w:fill="DBE5F1" w:themeFill="accent1" w:themeFillTint="33"/>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35" w:name="_Toc431467656"/>
            <w:bookmarkStart w:id="36" w:name="_Toc431474237"/>
            <w:r w:rsidRPr="00A44E5D">
              <w:rPr>
                <w:rFonts w:ascii="Times New Roman" w:eastAsia="MS Gothic" w:hAnsi="Times New Roman"/>
                <w:bCs/>
                <w:sz w:val="24"/>
                <w:szCs w:val="24"/>
              </w:rPr>
              <w:t>13,7</w:t>
            </w:r>
            <w:bookmarkEnd w:id="35"/>
            <w:bookmarkEnd w:id="36"/>
          </w:p>
        </w:tc>
      </w:tr>
      <w:tr w:rsidR="00A44E5D" w:rsidRPr="00A44E5D" w:rsidTr="007C67F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FFFFFF"/>
              <w:bottom w:val="single" w:sz="4" w:space="0" w:color="FFFFFF"/>
            </w:tcBorders>
            <w:shd w:val="clear" w:color="auto" w:fill="C6D9F1" w:themeFill="text2" w:themeFillTint="33"/>
            <w:hideMark/>
          </w:tcPr>
          <w:p w:rsidR="00A44E5D" w:rsidRPr="00A44E5D" w:rsidRDefault="00A44E5D" w:rsidP="007C67F6">
            <w:pPr>
              <w:pBdr>
                <w:bottom w:val="single" w:sz="12" w:space="1" w:color="0F5B68"/>
              </w:pBdr>
              <w:ind w:firstLine="0"/>
              <w:jc w:val="both"/>
              <w:outlineLvl w:val="0"/>
              <w:rPr>
                <w:rFonts w:ascii="Times New Roman" w:eastAsia="MS Gothic" w:hAnsi="Times New Roman"/>
                <w:b/>
                <w:bCs/>
                <w:color w:val="062328"/>
                <w:sz w:val="24"/>
                <w:szCs w:val="24"/>
              </w:rPr>
            </w:pPr>
            <w:bookmarkStart w:id="37" w:name="_Toc431467657"/>
            <w:bookmarkStart w:id="38" w:name="_Toc431474238"/>
            <w:r w:rsidRPr="00A44E5D">
              <w:rPr>
                <w:rFonts w:ascii="Times New Roman" w:eastAsia="MS Gothic" w:hAnsi="Times New Roman"/>
                <w:b/>
                <w:bCs/>
                <w:color w:val="062328"/>
                <w:sz w:val="24"/>
                <w:szCs w:val="24"/>
              </w:rPr>
              <w:t>ОАО «Газпром нефть»</w:t>
            </w:r>
            <w:bookmarkEnd w:id="37"/>
            <w:bookmarkEnd w:id="38"/>
          </w:p>
        </w:tc>
        <w:tc>
          <w:tcPr>
            <w:tcW w:w="2285" w:type="dxa"/>
            <w:tcBorders>
              <w:top w:val="single" w:sz="4" w:space="0" w:color="FFFFFF"/>
              <w:bottom w:val="single" w:sz="4" w:space="0" w:color="FFFFFF"/>
            </w:tcBorders>
            <w:shd w:val="clear" w:color="auto" w:fill="C6D9F1" w:themeFill="text2" w:themeFillTint="33"/>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39" w:name="_Toc431467658"/>
            <w:bookmarkStart w:id="40" w:name="_Toc431474239"/>
            <w:r w:rsidRPr="00A44E5D">
              <w:rPr>
                <w:rFonts w:ascii="Times New Roman" w:eastAsia="MS Gothic" w:hAnsi="Times New Roman"/>
                <w:bCs/>
                <w:sz w:val="24"/>
                <w:szCs w:val="24"/>
              </w:rPr>
              <w:t>27,60%</w:t>
            </w:r>
            <w:bookmarkEnd w:id="39"/>
            <w:bookmarkEnd w:id="40"/>
          </w:p>
        </w:tc>
        <w:tc>
          <w:tcPr>
            <w:tcW w:w="1746" w:type="dxa"/>
            <w:tcBorders>
              <w:top w:val="single" w:sz="4" w:space="0" w:color="FFFFFF"/>
              <w:bottom w:val="single" w:sz="4" w:space="0" w:color="FFFFFF"/>
            </w:tcBorders>
            <w:shd w:val="clear" w:color="auto" w:fill="C6D9F1" w:themeFill="text2" w:themeFillTint="33"/>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41" w:name="_Toc431467659"/>
            <w:bookmarkStart w:id="42" w:name="_Toc431474240"/>
            <w:r w:rsidRPr="00A44E5D">
              <w:rPr>
                <w:rFonts w:ascii="Times New Roman" w:eastAsia="MS Gothic" w:hAnsi="Times New Roman"/>
                <w:bCs/>
                <w:sz w:val="24"/>
                <w:szCs w:val="24"/>
              </w:rPr>
              <w:t>13,7</w:t>
            </w:r>
            <w:bookmarkEnd w:id="41"/>
            <w:bookmarkEnd w:id="42"/>
          </w:p>
        </w:tc>
        <w:tc>
          <w:tcPr>
            <w:tcW w:w="2483" w:type="dxa"/>
            <w:tcBorders>
              <w:top w:val="single" w:sz="4" w:space="0" w:color="FFFFFF"/>
              <w:bottom w:val="single" w:sz="4" w:space="0" w:color="FFFFFF"/>
            </w:tcBorders>
            <w:shd w:val="clear" w:color="auto" w:fill="C6D9F1" w:themeFill="text2" w:themeFillTint="33"/>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43" w:name="_Toc431467660"/>
            <w:bookmarkStart w:id="44" w:name="_Toc431474241"/>
            <w:r w:rsidRPr="00A44E5D">
              <w:rPr>
                <w:rFonts w:ascii="Times New Roman" w:eastAsia="MS Gothic" w:hAnsi="Times New Roman"/>
                <w:bCs/>
                <w:sz w:val="24"/>
                <w:szCs w:val="24"/>
              </w:rPr>
              <w:t>3,8</w:t>
            </w:r>
            <w:bookmarkEnd w:id="43"/>
            <w:bookmarkEnd w:id="44"/>
          </w:p>
        </w:tc>
      </w:tr>
      <w:tr w:rsidR="00A44E5D" w:rsidRPr="00A44E5D" w:rsidTr="007C67F6">
        <w:trPr>
          <w:trHeight w:val="31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FFFFFF"/>
              <w:bottom w:val="single" w:sz="4" w:space="0" w:color="FFFFFF"/>
            </w:tcBorders>
            <w:shd w:val="clear" w:color="auto" w:fill="C6D9F1" w:themeFill="text2" w:themeFillTint="33"/>
            <w:hideMark/>
          </w:tcPr>
          <w:p w:rsidR="00A44E5D" w:rsidRPr="00A44E5D" w:rsidRDefault="00A44E5D" w:rsidP="007C67F6">
            <w:pPr>
              <w:pBdr>
                <w:bottom w:val="single" w:sz="12" w:space="1" w:color="0F5B68"/>
              </w:pBdr>
              <w:ind w:firstLine="0"/>
              <w:jc w:val="both"/>
              <w:outlineLvl w:val="0"/>
              <w:rPr>
                <w:rFonts w:ascii="Times New Roman" w:eastAsia="MS Gothic" w:hAnsi="Times New Roman"/>
                <w:b/>
                <w:bCs/>
                <w:color w:val="062328"/>
                <w:sz w:val="24"/>
                <w:szCs w:val="24"/>
              </w:rPr>
            </w:pPr>
            <w:bookmarkStart w:id="45" w:name="_Toc431467661"/>
            <w:bookmarkStart w:id="46" w:name="_Toc431474242"/>
            <w:r w:rsidRPr="00A44E5D">
              <w:rPr>
                <w:rFonts w:ascii="Times New Roman" w:eastAsia="MS Gothic" w:hAnsi="Times New Roman"/>
                <w:b/>
                <w:bCs/>
                <w:color w:val="062328"/>
                <w:sz w:val="24"/>
                <w:szCs w:val="24"/>
              </w:rPr>
              <w:t>ОАО «Сургутнефтегаз»</w:t>
            </w:r>
            <w:bookmarkEnd w:id="45"/>
            <w:bookmarkEnd w:id="46"/>
          </w:p>
        </w:tc>
        <w:tc>
          <w:tcPr>
            <w:tcW w:w="2285" w:type="dxa"/>
            <w:tcBorders>
              <w:top w:val="single" w:sz="4" w:space="0" w:color="FFFFFF"/>
              <w:bottom w:val="single" w:sz="4" w:space="0" w:color="FFFFFF"/>
            </w:tcBorders>
            <w:shd w:val="clear" w:color="auto" w:fill="DBE5F1" w:themeFill="accent1" w:themeFillTint="33"/>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47" w:name="_Toc431467662"/>
            <w:bookmarkStart w:id="48" w:name="_Toc431474243"/>
            <w:r w:rsidRPr="00A44E5D">
              <w:rPr>
                <w:rFonts w:ascii="Times New Roman" w:eastAsia="MS Gothic" w:hAnsi="Times New Roman"/>
                <w:bCs/>
                <w:sz w:val="24"/>
                <w:szCs w:val="24"/>
              </w:rPr>
              <w:t>7,16%</w:t>
            </w:r>
            <w:bookmarkEnd w:id="47"/>
            <w:bookmarkEnd w:id="48"/>
          </w:p>
        </w:tc>
        <w:tc>
          <w:tcPr>
            <w:tcW w:w="1746" w:type="dxa"/>
            <w:tcBorders>
              <w:top w:val="single" w:sz="4" w:space="0" w:color="FFFFFF"/>
              <w:bottom w:val="single" w:sz="4" w:space="0" w:color="FFFFFF"/>
            </w:tcBorders>
            <w:shd w:val="clear" w:color="auto" w:fill="DBE5F1" w:themeFill="accent1" w:themeFillTint="33"/>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49" w:name="_Toc431467663"/>
            <w:bookmarkStart w:id="50" w:name="_Toc431474244"/>
            <w:r w:rsidRPr="00A44E5D">
              <w:rPr>
                <w:rFonts w:ascii="Times New Roman" w:eastAsia="MS Gothic" w:hAnsi="Times New Roman"/>
                <w:bCs/>
                <w:sz w:val="24"/>
                <w:szCs w:val="24"/>
              </w:rPr>
              <w:t>24,6</w:t>
            </w:r>
            <w:bookmarkEnd w:id="49"/>
            <w:bookmarkEnd w:id="50"/>
          </w:p>
        </w:tc>
        <w:tc>
          <w:tcPr>
            <w:tcW w:w="2483" w:type="dxa"/>
            <w:tcBorders>
              <w:top w:val="single" w:sz="4" w:space="0" w:color="FFFFFF"/>
              <w:bottom w:val="single" w:sz="4" w:space="0" w:color="FFFFFF"/>
            </w:tcBorders>
            <w:shd w:val="clear" w:color="auto" w:fill="DBE5F1" w:themeFill="accent1" w:themeFillTint="33"/>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51" w:name="_Toc431467664"/>
            <w:bookmarkStart w:id="52" w:name="_Toc431474245"/>
            <w:r w:rsidRPr="00A44E5D">
              <w:rPr>
                <w:rFonts w:ascii="Times New Roman" w:eastAsia="MS Gothic" w:hAnsi="Times New Roman"/>
                <w:bCs/>
                <w:sz w:val="24"/>
                <w:szCs w:val="24"/>
              </w:rPr>
              <w:t>1,8</w:t>
            </w:r>
            <w:bookmarkEnd w:id="51"/>
            <w:bookmarkEnd w:id="52"/>
          </w:p>
        </w:tc>
      </w:tr>
      <w:tr w:rsidR="00A44E5D" w:rsidRPr="00A44E5D" w:rsidTr="007C67F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FFFFFF"/>
              <w:bottom w:val="single" w:sz="4" w:space="0" w:color="FFFFFF"/>
            </w:tcBorders>
            <w:shd w:val="clear" w:color="auto" w:fill="C6D9F1" w:themeFill="text2" w:themeFillTint="33"/>
            <w:hideMark/>
          </w:tcPr>
          <w:p w:rsidR="00A44E5D" w:rsidRPr="00A44E5D" w:rsidRDefault="00A44E5D" w:rsidP="007C67F6">
            <w:pPr>
              <w:pBdr>
                <w:bottom w:val="single" w:sz="12" w:space="1" w:color="0F5B68"/>
              </w:pBdr>
              <w:ind w:firstLine="0"/>
              <w:jc w:val="both"/>
              <w:outlineLvl w:val="0"/>
              <w:rPr>
                <w:rFonts w:ascii="Times New Roman" w:eastAsia="MS Gothic" w:hAnsi="Times New Roman"/>
                <w:b/>
                <w:bCs/>
                <w:color w:val="062328"/>
                <w:sz w:val="24"/>
                <w:szCs w:val="24"/>
              </w:rPr>
            </w:pPr>
            <w:bookmarkStart w:id="53" w:name="_Toc431467665"/>
            <w:bookmarkStart w:id="54" w:name="_Toc431474246"/>
            <w:r w:rsidRPr="00A44E5D">
              <w:rPr>
                <w:rFonts w:ascii="Times New Roman" w:eastAsia="MS Gothic" w:hAnsi="Times New Roman"/>
                <w:b/>
                <w:bCs/>
                <w:color w:val="062328"/>
                <w:sz w:val="24"/>
                <w:szCs w:val="24"/>
              </w:rPr>
              <w:t>ПАО «Татнефть»</w:t>
            </w:r>
            <w:bookmarkEnd w:id="53"/>
            <w:bookmarkEnd w:id="54"/>
          </w:p>
        </w:tc>
        <w:tc>
          <w:tcPr>
            <w:tcW w:w="2285" w:type="dxa"/>
            <w:tcBorders>
              <w:top w:val="single" w:sz="4" w:space="0" w:color="FFFFFF"/>
              <w:bottom w:val="single" w:sz="4" w:space="0" w:color="FFFFFF"/>
            </w:tcBorders>
            <w:shd w:val="clear" w:color="auto" w:fill="C6D9F1" w:themeFill="text2" w:themeFillTint="33"/>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55" w:name="_Toc431467666"/>
            <w:bookmarkStart w:id="56" w:name="_Toc431474247"/>
            <w:r w:rsidRPr="00A44E5D">
              <w:rPr>
                <w:rFonts w:ascii="Times New Roman" w:eastAsia="MS Gothic" w:hAnsi="Times New Roman"/>
                <w:bCs/>
                <w:sz w:val="24"/>
                <w:szCs w:val="24"/>
              </w:rPr>
              <w:t>29,90%</w:t>
            </w:r>
            <w:bookmarkEnd w:id="55"/>
            <w:bookmarkEnd w:id="56"/>
          </w:p>
        </w:tc>
        <w:tc>
          <w:tcPr>
            <w:tcW w:w="1746" w:type="dxa"/>
            <w:tcBorders>
              <w:top w:val="single" w:sz="4" w:space="0" w:color="FFFFFF"/>
              <w:bottom w:val="single" w:sz="4" w:space="0" w:color="FFFFFF"/>
            </w:tcBorders>
            <w:shd w:val="clear" w:color="auto" w:fill="C6D9F1" w:themeFill="text2" w:themeFillTint="33"/>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57" w:name="_Toc431467667"/>
            <w:bookmarkStart w:id="58" w:name="_Toc431474248"/>
            <w:r w:rsidRPr="00A44E5D">
              <w:rPr>
                <w:rFonts w:ascii="Times New Roman" w:eastAsia="MS Gothic" w:hAnsi="Times New Roman"/>
                <w:bCs/>
                <w:sz w:val="24"/>
                <w:szCs w:val="24"/>
              </w:rPr>
              <w:t>12,0</w:t>
            </w:r>
            <w:bookmarkEnd w:id="57"/>
            <w:bookmarkEnd w:id="58"/>
          </w:p>
        </w:tc>
        <w:tc>
          <w:tcPr>
            <w:tcW w:w="2483" w:type="dxa"/>
            <w:tcBorders>
              <w:top w:val="single" w:sz="4" w:space="0" w:color="FFFFFF"/>
              <w:bottom w:val="single" w:sz="4" w:space="0" w:color="FFFFFF"/>
            </w:tcBorders>
            <w:shd w:val="clear" w:color="auto" w:fill="C6D9F1" w:themeFill="text2" w:themeFillTint="33"/>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59" w:name="_Toc431467668"/>
            <w:bookmarkStart w:id="60" w:name="_Toc431474249"/>
            <w:r w:rsidRPr="00A44E5D">
              <w:rPr>
                <w:rFonts w:ascii="Times New Roman" w:eastAsia="MS Gothic" w:hAnsi="Times New Roman"/>
                <w:bCs/>
                <w:sz w:val="24"/>
                <w:szCs w:val="24"/>
              </w:rPr>
              <w:t>3,6</w:t>
            </w:r>
            <w:bookmarkEnd w:id="59"/>
            <w:bookmarkEnd w:id="60"/>
          </w:p>
        </w:tc>
      </w:tr>
      <w:tr w:rsidR="00A44E5D" w:rsidRPr="00A44E5D" w:rsidTr="007C67F6">
        <w:trPr>
          <w:trHeight w:val="31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FFFFFF"/>
              <w:bottom w:val="nil"/>
            </w:tcBorders>
            <w:shd w:val="clear" w:color="auto" w:fill="C6D9F1" w:themeFill="text2" w:themeFillTint="33"/>
            <w:hideMark/>
          </w:tcPr>
          <w:p w:rsidR="00A44E5D" w:rsidRPr="00A44E5D" w:rsidRDefault="00A44E5D" w:rsidP="00A44E5D">
            <w:pPr>
              <w:pBdr>
                <w:bottom w:val="single" w:sz="12" w:space="1" w:color="0F5B68"/>
              </w:pBdr>
              <w:jc w:val="both"/>
              <w:outlineLvl w:val="0"/>
              <w:rPr>
                <w:rFonts w:ascii="Times New Roman" w:eastAsia="MS Gothic" w:hAnsi="Times New Roman"/>
                <w:b/>
                <w:bCs/>
                <w:color w:val="062328"/>
                <w:sz w:val="24"/>
                <w:szCs w:val="24"/>
              </w:rPr>
            </w:pPr>
            <w:bookmarkStart w:id="61" w:name="_Toc431467669"/>
            <w:bookmarkStart w:id="62" w:name="_Toc431474250"/>
            <w:r w:rsidRPr="00A44E5D">
              <w:rPr>
                <w:rFonts w:ascii="Times New Roman" w:eastAsia="MS Gothic" w:hAnsi="Times New Roman"/>
                <w:b/>
                <w:bCs/>
                <w:color w:val="062328"/>
                <w:sz w:val="24"/>
                <w:szCs w:val="24"/>
              </w:rPr>
              <w:t>Всего</w:t>
            </w:r>
            <w:bookmarkEnd w:id="61"/>
            <w:bookmarkEnd w:id="62"/>
          </w:p>
        </w:tc>
        <w:tc>
          <w:tcPr>
            <w:tcW w:w="2285" w:type="dxa"/>
            <w:tcBorders>
              <w:top w:val="single" w:sz="4" w:space="0" w:color="FFFFFF"/>
              <w:bottom w:val="single" w:sz="4" w:space="0" w:color="FFFFFF"/>
            </w:tcBorders>
            <w:shd w:val="clear" w:color="auto" w:fill="DBE5F1" w:themeFill="accent1" w:themeFillTint="33"/>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63" w:name="_Toc431467670"/>
            <w:bookmarkStart w:id="64" w:name="_Toc431474251"/>
            <w:r w:rsidRPr="00A44E5D">
              <w:rPr>
                <w:rFonts w:ascii="Times New Roman" w:eastAsia="MS Gothic" w:hAnsi="Times New Roman"/>
                <w:bCs/>
                <w:sz w:val="24"/>
                <w:szCs w:val="24"/>
              </w:rPr>
              <w:t>26%</w:t>
            </w:r>
            <w:bookmarkEnd w:id="63"/>
            <w:bookmarkEnd w:id="64"/>
          </w:p>
        </w:tc>
        <w:tc>
          <w:tcPr>
            <w:tcW w:w="1746" w:type="dxa"/>
            <w:tcBorders>
              <w:top w:val="single" w:sz="4" w:space="0" w:color="FFFFFF"/>
              <w:bottom w:val="single" w:sz="4" w:space="0" w:color="FFFFFF"/>
            </w:tcBorders>
            <w:shd w:val="clear" w:color="auto" w:fill="DBE5F1" w:themeFill="accent1" w:themeFillTint="33"/>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65" w:name="_Toc431467671"/>
            <w:bookmarkStart w:id="66" w:name="_Toc431474252"/>
            <w:r w:rsidRPr="00A44E5D">
              <w:rPr>
                <w:rFonts w:ascii="Times New Roman" w:eastAsia="MS Gothic" w:hAnsi="Times New Roman"/>
                <w:bCs/>
                <w:sz w:val="24"/>
                <w:szCs w:val="24"/>
              </w:rPr>
              <w:t>137,2</w:t>
            </w:r>
            <w:bookmarkEnd w:id="65"/>
            <w:bookmarkEnd w:id="66"/>
          </w:p>
        </w:tc>
        <w:tc>
          <w:tcPr>
            <w:tcW w:w="2483" w:type="dxa"/>
            <w:tcBorders>
              <w:top w:val="single" w:sz="4" w:space="0" w:color="FFFFFF"/>
              <w:bottom w:val="single" w:sz="4" w:space="0" w:color="FFFFFF"/>
            </w:tcBorders>
            <w:shd w:val="clear" w:color="auto" w:fill="DBE5F1" w:themeFill="accent1" w:themeFillTint="33"/>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67" w:name="_Toc431467672"/>
            <w:bookmarkStart w:id="68" w:name="_Toc431474253"/>
            <w:r w:rsidRPr="00A44E5D">
              <w:rPr>
                <w:rFonts w:ascii="Times New Roman" w:eastAsia="MS Gothic" w:hAnsi="Times New Roman"/>
                <w:bCs/>
                <w:sz w:val="24"/>
                <w:szCs w:val="24"/>
              </w:rPr>
              <w:t>35,7</w:t>
            </w:r>
            <w:bookmarkEnd w:id="67"/>
            <w:bookmarkEnd w:id="68"/>
          </w:p>
        </w:tc>
      </w:tr>
    </w:tbl>
    <w:p w:rsidR="00A44E5D" w:rsidRPr="00A44E5D" w:rsidRDefault="00A44E5D" w:rsidP="00A44E5D">
      <w:pPr>
        <w:pBdr>
          <w:bottom w:val="single" w:sz="12" w:space="1" w:color="0F5B68"/>
        </w:pBdr>
        <w:spacing w:after="0" w:line="240" w:lineRule="auto"/>
        <w:outlineLvl w:val="0"/>
        <w:rPr>
          <w:rFonts w:ascii="Times New Roman" w:eastAsia="MS Gothic" w:hAnsi="Times New Roman" w:cs="Times New Roman"/>
          <w:b/>
          <w:bCs/>
          <w:color w:val="062328"/>
          <w:sz w:val="24"/>
          <w:szCs w:val="24"/>
        </w:rPr>
      </w:pPr>
    </w:p>
    <w:p w:rsidR="00A44E5D" w:rsidRPr="00A44E5D" w:rsidRDefault="00A44E5D" w:rsidP="00A44E5D">
      <w:pPr>
        <w:pBdr>
          <w:bottom w:val="single" w:sz="12" w:space="1" w:color="0F5B68"/>
        </w:pBdr>
        <w:spacing w:after="0" w:line="240" w:lineRule="auto"/>
        <w:outlineLvl w:val="0"/>
        <w:rPr>
          <w:rFonts w:ascii="Times New Roman" w:eastAsia="MS Gothic" w:hAnsi="Times New Roman" w:cs="Times New Roman"/>
          <w:b/>
          <w:bCs/>
          <w:color w:val="062328"/>
          <w:sz w:val="24"/>
          <w:szCs w:val="24"/>
        </w:rPr>
      </w:pPr>
      <w:bookmarkStart w:id="69" w:name="_Toc431467673"/>
      <w:bookmarkStart w:id="70" w:name="_Toc431474254"/>
      <w:r w:rsidRPr="00A44E5D">
        <w:rPr>
          <w:rFonts w:ascii="Times New Roman" w:eastAsia="MS Gothic" w:hAnsi="Times New Roman" w:cs="Times New Roman"/>
          <w:b/>
          <w:bCs/>
          <w:color w:val="062328"/>
          <w:sz w:val="24"/>
          <w:szCs w:val="24"/>
        </w:rPr>
        <w:t>Таблица 2. Условный расчет доли иностранного капитала в добыче нефти в России по итогам 2014 г.</w:t>
      </w:r>
      <w:bookmarkEnd w:id="69"/>
      <w:bookmarkEnd w:id="70"/>
    </w:p>
    <w:tbl>
      <w:tblPr>
        <w:tblStyle w:val="-11"/>
        <w:tblW w:w="9552" w:type="dxa"/>
        <w:shd w:val="clear" w:color="auto" w:fill="C6D9F1" w:themeFill="text2" w:themeFillTint="33"/>
        <w:tblLook w:val="04A0" w:firstRow="1" w:lastRow="0" w:firstColumn="1" w:lastColumn="0" w:noHBand="0" w:noVBand="1"/>
      </w:tblPr>
      <w:tblGrid>
        <w:gridCol w:w="2943"/>
        <w:gridCol w:w="1985"/>
        <w:gridCol w:w="2160"/>
        <w:gridCol w:w="2464"/>
      </w:tblGrid>
      <w:tr w:rsidR="00A44E5D" w:rsidRPr="00A44E5D" w:rsidTr="007C67F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noWrap/>
            <w:vAlign w:val="center"/>
            <w:hideMark/>
          </w:tcPr>
          <w:p w:rsidR="00A44E5D" w:rsidRPr="00A44E5D" w:rsidRDefault="00A44E5D" w:rsidP="00A44E5D">
            <w:pPr>
              <w:pBdr>
                <w:bottom w:val="single" w:sz="12" w:space="1" w:color="0F5B68"/>
              </w:pBdr>
              <w:jc w:val="both"/>
              <w:outlineLvl w:val="0"/>
              <w:rPr>
                <w:rFonts w:ascii="Times New Roman" w:eastAsia="MS Gothic" w:hAnsi="Times New Roman"/>
                <w:color w:val="062328"/>
                <w:sz w:val="24"/>
                <w:szCs w:val="24"/>
              </w:rPr>
            </w:pPr>
            <w:bookmarkStart w:id="71" w:name="_Toc431467674"/>
            <w:bookmarkStart w:id="72" w:name="_Toc431474255"/>
            <w:r w:rsidRPr="00A44E5D">
              <w:rPr>
                <w:rFonts w:ascii="Times New Roman" w:eastAsia="MS Gothic" w:hAnsi="Times New Roman"/>
                <w:color w:val="062328"/>
                <w:sz w:val="24"/>
                <w:szCs w:val="24"/>
              </w:rPr>
              <w:t>Компания/проект</w:t>
            </w:r>
            <w:bookmarkEnd w:id="71"/>
            <w:bookmarkEnd w:id="72"/>
          </w:p>
        </w:tc>
        <w:tc>
          <w:tcPr>
            <w:tcW w:w="1985" w:type="dxa"/>
            <w:shd w:val="clear" w:color="auto" w:fill="C6D9F1" w:themeFill="text2" w:themeFillTint="33"/>
            <w:noWrap/>
            <w:vAlign w:val="center"/>
            <w:hideMark/>
          </w:tcPr>
          <w:p w:rsidR="00A44E5D" w:rsidRPr="00A44E5D" w:rsidRDefault="00A44E5D" w:rsidP="00A44E5D">
            <w:pPr>
              <w:pBdr>
                <w:bottom w:val="single" w:sz="12" w:space="1" w:color="0F5B68"/>
              </w:pBdr>
              <w:jc w:val="both"/>
              <w:outlineLvl w:val="0"/>
              <w:cnfStyle w:val="100000000000" w:firstRow="1" w:lastRow="0" w:firstColumn="0" w:lastColumn="0" w:oddVBand="0" w:evenVBand="0" w:oddHBand="0" w:evenHBand="0" w:firstRowFirstColumn="0" w:firstRowLastColumn="0" w:lastRowFirstColumn="0" w:lastRowLastColumn="0"/>
              <w:rPr>
                <w:rFonts w:ascii="Times New Roman" w:eastAsia="MS Gothic" w:hAnsi="Times New Roman"/>
                <w:sz w:val="24"/>
                <w:szCs w:val="24"/>
              </w:rPr>
            </w:pPr>
            <w:bookmarkStart w:id="73" w:name="_Toc431467675"/>
            <w:bookmarkStart w:id="74" w:name="_Toc431474256"/>
            <w:r w:rsidRPr="00A44E5D">
              <w:rPr>
                <w:rFonts w:ascii="Times New Roman" w:eastAsia="MS Gothic" w:hAnsi="Times New Roman"/>
                <w:sz w:val="24"/>
                <w:szCs w:val="24"/>
              </w:rPr>
              <w:t>Доля в акционерном капитале</w:t>
            </w:r>
            <w:bookmarkEnd w:id="73"/>
            <w:bookmarkEnd w:id="74"/>
          </w:p>
        </w:tc>
        <w:tc>
          <w:tcPr>
            <w:tcW w:w="2160" w:type="dxa"/>
            <w:shd w:val="clear" w:color="auto" w:fill="C6D9F1" w:themeFill="text2" w:themeFillTint="33"/>
            <w:noWrap/>
            <w:vAlign w:val="center"/>
            <w:hideMark/>
          </w:tcPr>
          <w:p w:rsidR="00A44E5D" w:rsidRPr="00A44E5D" w:rsidRDefault="00A44E5D" w:rsidP="00A44E5D">
            <w:pPr>
              <w:pBdr>
                <w:bottom w:val="single" w:sz="12" w:space="1" w:color="0F5B68"/>
              </w:pBdr>
              <w:jc w:val="both"/>
              <w:outlineLvl w:val="0"/>
              <w:cnfStyle w:val="100000000000" w:firstRow="1" w:lastRow="0" w:firstColumn="0" w:lastColumn="0" w:oddVBand="0" w:evenVBand="0" w:oddHBand="0" w:evenHBand="0" w:firstRowFirstColumn="0" w:firstRowLastColumn="0" w:lastRowFirstColumn="0" w:lastRowLastColumn="0"/>
              <w:rPr>
                <w:rFonts w:ascii="Times New Roman" w:eastAsia="MS Gothic" w:hAnsi="Times New Roman"/>
                <w:sz w:val="24"/>
                <w:szCs w:val="24"/>
              </w:rPr>
            </w:pPr>
            <w:bookmarkStart w:id="75" w:name="_Toc431467676"/>
            <w:bookmarkStart w:id="76" w:name="_Toc431474257"/>
            <w:r w:rsidRPr="00A44E5D">
              <w:rPr>
                <w:rFonts w:ascii="Times New Roman" w:eastAsia="MS Gothic" w:hAnsi="Times New Roman"/>
                <w:sz w:val="24"/>
                <w:szCs w:val="24"/>
              </w:rPr>
              <w:t xml:space="preserve">Добыча жидких углеводородов всего в 2014 г., </w:t>
            </w:r>
            <w:proofErr w:type="gramStart"/>
            <w:r w:rsidRPr="00A44E5D">
              <w:rPr>
                <w:rFonts w:ascii="Times New Roman" w:eastAsia="MS Gothic" w:hAnsi="Times New Roman"/>
                <w:sz w:val="24"/>
                <w:szCs w:val="24"/>
              </w:rPr>
              <w:t>млн</w:t>
            </w:r>
            <w:proofErr w:type="gramEnd"/>
            <w:r w:rsidRPr="00A44E5D">
              <w:rPr>
                <w:rFonts w:ascii="Times New Roman" w:eastAsia="MS Gothic" w:hAnsi="Times New Roman"/>
                <w:sz w:val="24"/>
                <w:szCs w:val="24"/>
              </w:rPr>
              <w:t xml:space="preserve"> т в год</w:t>
            </w:r>
            <w:bookmarkEnd w:id="75"/>
            <w:bookmarkEnd w:id="76"/>
          </w:p>
        </w:tc>
        <w:tc>
          <w:tcPr>
            <w:tcW w:w="2464" w:type="dxa"/>
            <w:shd w:val="clear" w:color="auto" w:fill="C6D9F1" w:themeFill="text2" w:themeFillTint="33"/>
            <w:noWrap/>
            <w:vAlign w:val="center"/>
            <w:hideMark/>
          </w:tcPr>
          <w:p w:rsidR="00A44E5D" w:rsidRPr="00A44E5D" w:rsidRDefault="00A44E5D" w:rsidP="00A44E5D">
            <w:pPr>
              <w:pBdr>
                <w:bottom w:val="single" w:sz="12" w:space="1" w:color="0F5B68"/>
              </w:pBdr>
              <w:jc w:val="both"/>
              <w:outlineLvl w:val="0"/>
              <w:cnfStyle w:val="100000000000" w:firstRow="1" w:lastRow="0" w:firstColumn="0" w:lastColumn="0" w:oddVBand="0" w:evenVBand="0" w:oddHBand="0" w:evenHBand="0" w:firstRowFirstColumn="0" w:firstRowLastColumn="0" w:lastRowFirstColumn="0" w:lastRowLastColumn="0"/>
              <w:rPr>
                <w:rFonts w:ascii="Times New Roman" w:eastAsia="MS Gothic" w:hAnsi="Times New Roman"/>
                <w:sz w:val="24"/>
                <w:szCs w:val="24"/>
              </w:rPr>
            </w:pPr>
            <w:bookmarkStart w:id="77" w:name="_Toc431467677"/>
            <w:bookmarkStart w:id="78" w:name="_Toc431474258"/>
            <w:r w:rsidRPr="00A44E5D">
              <w:rPr>
                <w:rFonts w:ascii="Times New Roman" w:eastAsia="MS Gothic" w:hAnsi="Times New Roman"/>
                <w:sz w:val="24"/>
                <w:szCs w:val="24"/>
              </w:rPr>
              <w:t>Условная доля в добыче,</w:t>
            </w:r>
            <w:bookmarkEnd w:id="77"/>
            <w:bookmarkEnd w:id="78"/>
            <w:r w:rsidRPr="00A44E5D">
              <w:rPr>
                <w:rFonts w:ascii="Times New Roman" w:eastAsia="MS Gothic" w:hAnsi="Times New Roman"/>
                <w:sz w:val="24"/>
                <w:szCs w:val="24"/>
              </w:rPr>
              <w:t xml:space="preserve"> </w:t>
            </w:r>
          </w:p>
          <w:p w:rsidR="00A44E5D" w:rsidRPr="00A44E5D" w:rsidRDefault="00A44E5D" w:rsidP="00A44E5D">
            <w:pPr>
              <w:pBdr>
                <w:bottom w:val="single" w:sz="12" w:space="1" w:color="0F5B68"/>
              </w:pBdr>
              <w:jc w:val="both"/>
              <w:outlineLvl w:val="0"/>
              <w:cnfStyle w:val="100000000000" w:firstRow="1" w:lastRow="0" w:firstColumn="0" w:lastColumn="0" w:oddVBand="0" w:evenVBand="0" w:oddHBand="0" w:evenHBand="0" w:firstRowFirstColumn="0" w:firstRowLastColumn="0" w:lastRowFirstColumn="0" w:lastRowLastColumn="0"/>
              <w:rPr>
                <w:rFonts w:ascii="Times New Roman" w:eastAsia="MS Gothic" w:hAnsi="Times New Roman"/>
                <w:sz w:val="24"/>
                <w:szCs w:val="24"/>
              </w:rPr>
            </w:pPr>
            <w:bookmarkStart w:id="79" w:name="_Toc431467678"/>
            <w:bookmarkStart w:id="80" w:name="_Toc431474259"/>
            <w:proofErr w:type="gramStart"/>
            <w:r w:rsidRPr="00A44E5D">
              <w:rPr>
                <w:rFonts w:ascii="Times New Roman" w:eastAsia="MS Gothic" w:hAnsi="Times New Roman"/>
                <w:sz w:val="24"/>
                <w:szCs w:val="24"/>
              </w:rPr>
              <w:t>млн</w:t>
            </w:r>
            <w:proofErr w:type="gramEnd"/>
            <w:r w:rsidRPr="00A44E5D">
              <w:rPr>
                <w:rFonts w:ascii="Times New Roman" w:eastAsia="MS Gothic" w:hAnsi="Times New Roman"/>
                <w:sz w:val="24"/>
                <w:szCs w:val="24"/>
              </w:rPr>
              <w:t xml:space="preserve"> т в год</w:t>
            </w:r>
            <w:bookmarkEnd w:id="79"/>
            <w:bookmarkEnd w:id="80"/>
          </w:p>
        </w:tc>
      </w:tr>
      <w:tr w:rsidR="00A44E5D" w:rsidRPr="00A44E5D" w:rsidTr="007C67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noWrap/>
            <w:hideMark/>
          </w:tcPr>
          <w:p w:rsidR="00A44E5D" w:rsidRPr="00A44E5D" w:rsidRDefault="00A44E5D" w:rsidP="007C67F6">
            <w:pPr>
              <w:pBdr>
                <w:bottom w:val="single" w:sz="12" w:space="1" w:color="0F5B68"/>
              </w:pBdr>
              <w:ind w:firstLine="0"/>
              <w:jc w:val="both"/>
              <w:outlineLvl w:val="0"/>
              <w:rPr>
                <w:rFonts w:ascii="Times New Roman" w:eastAsia="MS Gothic" w:hAnsi="Times New Roman"/>
                <w:b/>
                <w:bCs/>
                <w:color w:val="062328"/>
                <w:sz w:val="24"/>
                <w:szCs w:val="24"/>
              </w:rPr>
            </w:pPr>
            <w:bookmarkStart w:id="81" w:name="_Toc431467679"/>
            <w:bookmarkStart w:id="82" w:name="_Toc431474260"/>
            <w:r w:rsidRPr="00A44E5D">
              <w:rPr>
                <w:rFonts w:ascii="Times New Roman" w:eastAsia="MS Gothic" w:hAnsi="Times New Roman"/>
                <w:b/>
                <w:bCs/>
                <w:color w:val="062328"/>
                <w:sz w:val="24"/>
                <w:szCs w:val="24"/>
              </w:rPr>
              <w:t>Сахалин 1</w:t>
            </w:r>
            <w:bookmarkEnd w:id="81"/>
            <w:bookmarkEnd w:id="82"/>
          </w:p>
        </w:tc>
        <w:tc>
          <w:tcPr>
            <w:tcW w:w="1985" w:type="dxa"/>
            <w:tcBorders>
              <w:bottom w:val="single" w:sz="4" w:space="0" w:color="FFFFFF"/>
            </w:tcBorders>
            <w:shd w:val="clear" w:color="auto" w:fill="C6D9F1" w:themeFill="text2" w:themeFillTint="33"/>
            <w:noWrap/>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83" w:name="_Toc431467680"/>
            <w:bookmarkStart w:id="84" w:name="_Toc431474261"/>
            <w:r w:rsidRPr="00A44E5D">
              <w:rPr>
                <w:rFonts w:ascii="Times New Roman" w:eastAsia="MS Gothic" w:hAnsi="Times New Roman"/>
                <w:bCs/>
                <w:sz w:val="24"/>
                <w:szCs w:val="24"/>
              </w:rPr>
              <w:t>80%</w:t>
            </w:r>
            <w:bookmarkEnd w:id="83"/>
            <w:bookmarkEnd w:id="84"/>
          </w:p>
        </w:tc>
        <w:tc>
          <w:tcPr>
            <w:tcW w:w="2160" w:type="dxa"/>
            <w:tcBorders>
              <w:bottom w:val="single" w:sz="4" w:space="0" w:color="FFFFFF"/>
            </w:tcBorders>
            <w:shd w:val="clear" w:color="auto" w:fill="C6D9F1" w:themeFill="text2" w:themeFillTint="33"/>
            <w:noWrap/>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85" w:name="_Toc431467681"/>
            <w:bookmarkStart w:id="86" w:name="_Toc431474262"/>
            <w:r w:rsidRPr="00A44E5D">
              <w:rPr>
                <w:rFonts w:ascii="Times New Roman" w:eastAsia="MS Gothic" w:hAnsi="Times New Roman"/>
                <w:bCs/>
                <w:sz w:val="24"/>
                <w:szCs w:val="24"/>
              </w:rPr>
              <w:t>7,6252</w:t>
            </w:r>
            <w:bookmarkEnd w:id="85"/>
            <w:bookmarkEnd w:id="86"/>
          </w:p>
        </w:tc>
        <w:tc>
          <w:tcPr>
            <w:tcW w:w="2464" w:type="dxa"/>
            <w:tcBorders>
              <w:bottom w:val="single" w:sz="4" w:space="0" w:color="FFFFFF"/>
            </w:tcBorders>
            <w:shd w:val="clear" w:color="auto" w:fill="C6D9F1" w:themeFill="text2" w:themeFillTint="33"/>
            <w:noWrap/>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87" w:name="_Toc431467682"/>
            <w:bookmarkStart w:id="88" w:name="_Toc431474263"/>
            <w:r w:rsidRPr="00A44E5D">
              <w:rPr>
                <w:rFonts w:ascii="Times New Roman" w:eastAsia="MS Gothic" w:hAnsi="Times New Roman"/>
                <w:bCs/>
                <w:sz w:val="24"/>
                <w:szCs w:val="24"/>
              </w:rPr>
              <w:t>6,10</w:t>
            </w:r>
            <w:bookmarkEnd w:id="87"/>
            <w:bookmarkEnd w:id="88"/>
          </w:p>
        </w:tc>
      </w:tr>
      <w:tr w:rsidR="00A44E5D" w:rsidRPr="00A44E5D" w:rsidTr="007C67F6">
        <w:trPr>
          <w:trHeight w:val="300"/>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noWrap/>
            <w:hideMark/>
          </w:tcPr>
          <w:p w:rsidR="00A44E5D" w:rsidRPr="00A44E5D" w:rsidRDefault="00A44E5D" w:rsidP="007C67F6">
            <w:pPr>
              <w:pBdr>
                <w:bottom w:val="single" w:sz="12" w:space="1" w:color="0F5B68"/>
              </w:pBdr>
              <w:ind w:firstLine="0"/>
              <w:jc w:val="both"/>
              <w:outlineLvl w:val="0"/>
              <w:rPr>
                <w:rFonts w:ascii="Times New Roman" w:eastAsia="MS Gothic" w:hAnsi="Times New Roman"/>
                <w:b/>
                <w:bCs/>
                <w:color w:val="062328"/>
                <w:sz w:val="24"/>
                <w:szCs w:val="24"/>
              </w:rPr>
            </w:pPr>
            <w:bookmarkStart w:id="89" w:name="_Toc431467683"/>
            <w:bookmarkStart w:id="90" w:name="_Toc431474264"/>
            <w:r w:rsidRPr="00A44E5D">
              <w:rPr>
                <w:rFonts w:ascii="Times New Roman" w:eastAsia="MS Gothic" w:hAnsi="Times New Roman"/>
                <w:b/>
                <w:bCs/>
                <w:color w:val="062328"/>
                <w:sz w:val="24"/>
                <w:szCs w:val="24"/>
              </w:rPr>
              <w:t>Сахалин 2</w:t>
            </w:r>
            <w:bookmarkEnd w:id="89"/>
            <w:bookmarkEnd w:id="90"/>
          </w:p>
        </w:tc>
        <w:tc>
          <w:tcPr>
            <w:tcW w:w="1985" w:type="dxa"/>
            <w:tcBorders>
              <w:top w:val="single" w:sz="4" w:space="0" w:color="FFFFFF"/>
              <w:bottom w:val="single" w:sz="4" w:space="0" w:color="FFFFFF"/>
            </w:tcBorders>
            <w:shd w:val="clear" w:color="auto" w:fill="DBE5F1" w:themeFill="accent1" w:themeFillTint="33"/>
            <w:noWrap/>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91" w:name="_Toc431467684"/>
            <w:bookmarkStart w:id="92" w:name="_Toc431474265"/>
            <w:r w:rsidRPr="00A44E5D">
              <w:rPr>
                <w:rFonts w:ascii="Times New Roman" w:eastAsia="MS Gothic" w:hAnsi="Times New Roman"/>
                <w:bCs/>
                <w:sz w:val="24"/>
                <w:szCs w:val="24"/>
              </w:rPr>
              <w:t>50%</w:t>
            </w:r>
            <w:bookmarkEnd w:id="91"/>
            <w:bookmarkEnd w:id="92"/>
          </w:p>
        </w:tc>
        <w:tc>
          <w:tcPr>
            <w:tcW w:w="2160" w:type="dxa"/>
            <w:tcBorders>
              <w:top w:val="single" w:sz="4" w:space="0" w:color="FFFFFF"/>
              <w:bottom w:val="single" w:sz="4" w:space="0" w:color="FFFFFF"/>
            </w:tcBorders>
            <w:shd w:val="clear" w:color="auto" w:fill="DBE5F1" w:themeFill="accent1" w:themeFillTint="33"/>
            <w:noWrap/>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93" w:name="_Toc431467685"/>
            <w:bookmarkStart w:id="94" w:name="_Toc431474266"/>
            <w:r w:rsidRPr="00A44E5D">
              <w:rPr>
                <w:rFonts w:ascii="Times New Roman" w:eastAsia="MS Gothic" w:hAnsi="Times New Roman"/>
                <w:bCs/>
                <w:sz w:val="24"/>
                <w:szCs w:val="24"/>
              </w:rPr>
              <w:t>5,301</w:t>
            </w:r>
            <w:bookmarkEnd w:id="93"/>
            <w:bookmarkEnd w:id="94"/>
          </w:p>
        </w:tc>
        <w:tc>
          <w:tcPr>
            <w:tcW w:w="2464" w:type="dxa"/>
            <w:tcBorders>
              <w:top w:val="single" w:sz="4" w:space="0" w:color="FFFFFF"/>
              <w:bottom w:val="single" w:sz="4" w:space="0" w:color="FFFFFF"/>
            </w:tcBorders>
            <w:shd w:val="clear" w:color="auto" w:fill="DBE5F1" w:themeFill="accent1" w:themeFillTint="33"/>
            <w:noWrap/>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95" w:name="_Toc431467686"/>
            <w:bookmarkStart w:id="96" w:name="_Toc431474267"/>
            <w:r w:rsidRPr="00A44E5D">
              <w:rPr>
                <w:rFonts w:ascii="Times New Roman" w:eastAsia="MS Gothic" w:hAnsi="Times New Roman"/>
                <w:bCs/>
                <w:sz w:val="24"/>
                <w:szCs w:val="24"/>
              </w:rPr>
              <w:t>2,65</w:t>
            </w:r>
            <w:bookmarkEnd w:id="95"/>
            <w:bookmarkEnd w:id="96"/>
          </w:p>
        </w:tc>
      </w:tr>
      <w:tr w:rsidR="00A44E5D" w:rsidRPr="00A44E5D" w:rsidTr="007C67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noWrap/>
            <w:hideMark/>
          </w:tcPr>
          <w:p w:rsidR="00A44E5D" w:rsidRPr="00A44E5D" w:rsidRDefault="00A44E5D" w:rsidP="007C67F6">
            <w:pPr>
              <w:pBdr>
                <w:bottom w:val="single" w:sz="12" w:space="1" w:color="0F5B68"/>
              </w:pBdr>
              <w:ind w:firstLine="0"/>
              <w:jc w:val="both"/>
              <w:outlineLvl w:val="0"/>
              <w:rPr>
                <w:rFonts w:ascii="Times New Roman" w:eastAsia="MS Gothic" w:hAnsi="Times New Roman"/>
                <w:b/>
                <w:bCs/>
                <w:color w:val="062328"/>
                <w:sz w:val="24"/>
                <w:szCs w:val="24"/>
              </w:rPr>
            </w:pPr>
            <w:bookmarkStart w:id="97" w:name="_Toc431467687"/>
            <w:bookmarkStart w:id="98" w:name="_Toc431474268"/>
            <w:proofErr w:type="spellStart"/>
            <w:r w:rsidRPr="00A44E5D">
              <w:rPr>
                <w:rFonts w:ascii="Times New Roman" w:eastAsia="MS Gothic" w:hAnsi="Times New Roman"/>
                <w:b/>
                <w:bCs/>
                <w:color w:val="062328"/>
                <w:sz w:val="24"/>
                <w:szCs w:val="24"/>
              </w:rPr>
              <w:t>Харьягинское</w:t>
            </w:r>
            <w:proofErr w:type="spellEnd"/>
            <w:r w:rsidRPr="00A44E5D">
              <w:rPr>
                <w:rFonts w:ascii="Times New Roman" w:eastAsia="MS Gothic" w:hAnsi="Times New Roman"/>
                <w:b/>
                <w:bCs/>
                <w:color w:val="062328"/>
                <w:sz w:val="24"/>
                <w:szCs w:val="24"/>
              </w:rPr>
              <w:t xml:space="preserve"> СРП</w:t>
            </w:r>
            <w:bookmarkEnd w:id="97"/>
            <w:bookmarkEnd w:id="98"/>
          </w:p>
        </w:tc>
        <w:tc>
          <w:tcPr>
            <w:tcW w:w="1985" w:type="dxa"/>
            <w:tcBorders>
              <w:top w:val="single" w:sz="4" w:space="0" w:color="FFFFFF"/>
              <w:bottom w:val="single" w:sz="4" w:space="0" w:color="FFFFFF"/>
            </w:tcBorders>
            <w:shd w:val="clear" w:color="auto" w:fill="C6D9F1" w:themeFill="text2" w:themeFillTint="33"/>
            <w:noWrap/>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99" w:name="_Toc431467688"/>
            <w:bookmarkStart w:id="100" w:name="_Toc431474269"/>
            <w:r w:rsidRPr="00A44E5D">
              <w:rPr>
                <w:rFonts w:ascii="Times New Roman" w:eastAsia="MS Gothic" w:hAnsi="Times New Roman"/>
                <w:bCs/>
                <w:sz w:val="24"/>
                <w:szCs w:val="24"/>
              </w:rPr>
              <w:t>70%</w:t>
            </w:r>
            <w:bookmarkEnd w:id="99"/>
            <w:bookmarkEnd w:id="100"/>
          </w:p>
        </w:tc>
        <w:tc>
          <w:tcPr>
            <w:tcW w:w="2160" w:type="dxa"/>
            <w:tcBorders>
              <w:top w:val="single" w:sz="4" w:space="0" w:color="FFFFFF"/>
              <w:bottom w:val="single" w:sz="4" w:space="0" w:color="FFFFFF"/>
            </w:tcBorders>
            <w:shd w:val="clear" w:color="auto" w:fill="C6D9F1" w:themeFill="text2" w:themeFillTint="33"/>
            <w:noWrap/>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101" w:name="_Toc431467689"/>
            <w:bookmarkStart w:id="102" w:name="_Toc431474270"/>
            <w:r w:rsidRPr="00A44E5D">
              <w:rPr>
                <w:rFonts w:ascii="Times New Roman" w:eastAsia="MS Gothic" w:hAnsi="Times New Roman"/>
                <w:bCs/>
                <w:sz w:val="24"/>
                <w:szCs w:val="24"/>
              </w:rPr>
              <w:t>1,481</w:t>
            </w:r>
            <w:bookmarkEnd w:id="101"/>
            <w:bookmarkEnd w:id="102"/>
          </w:p>
        </w:tc>
        <w:tc>
          <w:tcPr>
            <w:tcW w:w="2464" w:type="dxa"/>
            <w:tcBorders>
              <w:top w:val="single" w:sz="4" w:space="0" w:color="FFFFFF"/>
              <w:bottom w:val="single" w:sz="4" w:space="0" w:color="FFFFFF"/>
            </w:tcBorders>
            <w:shd w:val="clear" w:color="auto" w:fill="C6D9F1" w:themeFill="text2" w:themeFillTint="33"/>
            <w:noWrap/>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103" w:name="_Toc431467690"/>
            <w:bookmarkStart w:id="104" w:name="_Toc431474271"/>
            <w:r w:rsidRPr="00A44E5D">
              <w:rPr>
                <w:rFonts w:ascii="Times New Roman" w:eastAsia="MS Gothic" w:hAnsi="Times New Roman"/>
                <w:bCs/>
                <w:sz w:val="24"/>
                <w:szCs w:val="24"/>
              </w:rPr>
              <w:t>1,04</w:t>
            </w:r>
            <w:bookmarkEnd w:id="103"/>
            <w:bookmarkEnd w:id="104"/>
          </w:p>
        </w:tc>
      </w:tr>
      <w:tr w:rsidR="00A44E5D" w:rsidRPr="00A44E5D" w:rsidTr="007C67F6">
        <w:trPr>
          <w:trHeight w:val="300"/>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noWrap/>
            <w:hideMark/>
          </w:tcPr>
          <w:p w:rsidR="00A44E5D" w:rsidRPr="00A44E5D" w:rsidRDefault="00A44E5D" w:rsidP="007C67F6">
            <w:pPr>
              <w:pBdr>
                <w:bottom w:val="single" w:sz="12" w:space="1" w:color="0F5B68"/>
              </w:pBdr>
              <w:ind w:firstLine="0"/>
              <w:jc w:val="both"/>
              <w:outlineLvl w:val="0"/>
              <w:rPr>
                <w:rFonts w:ascii="Times New Roman" w:eastAsia="MS Gothic" w:hAnsi="Times New Roman"/>
                <w:b/>
                <w:bCs/>
                <w:color w:val="062328"/>
                <w:sz w:val="24"/>
                <w:szCs w:val="24"/>
              </w:rPr>
            </w:pPr>
            <w:bookmarkStart w:id="105" w:name="_Toc431467691"/>
            <w:bookmarkStart w:id="106" w:name="_Toc431474272"/>
            <w:proofErr w:type="spellStart"/>
            <w:r w:rsidRPr="00A44E5D">
              <w:rPr>
                <w:rFonts w:ascii="Times New Roman" w:eastAsia="MS Gothic" w:hAnsi="Times New Roman"/>
                <w:b/>
                <w:bCs/>
                <w:color w:val="062328"/>
                <w:sz w:val="24"/>
                <w:szCs w:val="24"/>
              </w:rPr>
              <w:t>Салымская</w:t>
            </w:r>
            <w:proofErr w:type="spellEnd"/>
            <w:r w:rsidRPr="00A44E5D">
              <w:rPr>
                <w:rFonts w:ascii="Times New Roman" w:eastAsia="MS Gothic" w:hAnsi="Times New Roman"/>
                <w:b/>
                <w:bCs/>
                <w:color w:val="062328"/>
                <w:sz w:val="24"/>
                <w:szCs w:val="24"/>
              </w:rPr>
              <w:t xml:space="preserve"> группа</w:t>
            </w:r>
            <w:bookmarkEnd w:id="105"/>
            <w:bookmarkEnd w:id="106"/>
          </w:p>
        </w:tc>
        <w:tc>
          <w:tcPr>
            <w:tcW w:w="1985" w:type="dxa"/>
            <w:tcBorders>
              <w:top w:val="single" w:sz="4" w:space="0" w:color="FFFFFF"/>
              <w:bottom w:val="single" w:sz="4" w:space="0" w:color="FFFFFF"/>
            </w:tcBorders>
            <w:shd w:val="clear" w:color="auto" w:fill="DBE5F1" w:themeFill="accent1" w:themeFillTint="33"/>
            <w:noWrap/>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107" w:name="_Toc431467692"/>
            <w:bookmarkStart w:id="108" w:name="_Toc431474273"/>
            <w:r w:rsidRPr="00A44E5D">
              <w:rPr>
                <w:rFonts w:ascii="Times New Roman" w:eastAsia="MS Gothic" w:hAnsi="Times New Roman"/>
                <w:bCs/>
                <w:sz w:val="24"/>
                <w:szCs w:val="24"/>
              </w:rPr>
              <w:t>50%</w:t>
            </w:r>
            <w:bookmarkEnd w:id="107"/>
            <w:bookmarkEnd w:id="108"/>
          </w:p>
        </w:tc>
        <w:tc>
          <w:tcPr>
            <w:tcW w:w="2160" w:type="dxa"/>
            <w:tcBorders>
              <w:top w:val="single" w:sz="4" w:space="0" w:color="FFFFFF"/>
              <w:bottom w:val="single" w:sz="4" w:space="0" w:color="FFFFFF"/>
            </w:tcBorders>
            <w:shd w:val="clear" w:color="auto" w:fill="DBE5F1" w:themeFill="accent1" w:themeFillTint="33"/>
            <w:noWrap/>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109" w:name="_Toc431467693"/>
            <w:bookmarkStart w:id="110" w:name="_Toc431474274"/>
            <w:r w:rsidRPr="00A44E5D">
              <w:rPr>
                <w:rFonts w:ascii="Times New Roman" w:eastAsia="MS Gothic" w:hAnsi="Times New Roman"/>
                <w:bCs/>
                <w:sz w:val="24"/>
                <w:szCs w:val="24"/>
              </w:rPr>
              <w:t>6,5503</w:t>
            </w:r>
            <w:bookmarkEnd w:id="109"/>
            <w:bookmarkEnd w:id="110"/>
          </w:p>
        </w:tc>
        <w:tc>
          <w:tcPr>
            <w:tcW w:w="2464" w:type="dxa"/>
            <w:tcBorders>
              <w:top w:val="single" w:sz="4" w:space="0" w:color="FFFFFF"/>
              <w:bottom w:val="single" w:sz="4" w:space="0" w:color="FFFFFF"/>
            </w:tcBorders>
            <w:shd w:val="clear" w:color="auto" w:fill="DBE5F1" w:themeFill="accent1" w:themeFillTint="33"/>
            <w:noWrap/>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111" w:name="_Toc431467694"/>
            <w:bookmarkStart w:id="112" w:name="_Toc431474275"/>
            <w:r w:rsidRPr="00A44E5D">
              <w:rPr>
                <w:rFonts w:ascii="Times New Roman" w:eastAsia="MS Gothic" w:hAnsi="Times New Roman"/>
                <w:bCs/>
                <w:sz w:val="24"/>
                <w:szCs w:val="24"/>
              </w:rPr>
              <w:t>3,28</w:t>
            </w:r>
            <w:bookmarkEnd w:id="111"/>
            <w:bookmarkEnd w:id="112"/>
          </w:p>
        </w:tc>
      </w:tr>
      <w:tr w:rsidR="00A44E5D" w:rsidRPr="00A44E5D" w:rsidTr="007C67F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noWrap/>
            <w:hideMark/>
          </w:tcPr>
          <w:p w:rsidR="00A44E5D" w:rsidRPr="00A44E5D" w:rsidRDefault="00A44E5D" w:rsidP="007C67F6">
            <w:pPr>
              <w:pBdr>
                <w:bottom w:val="single" w:sz="12" w:space="1" w:color="0F5B68"/>
              </w:pBdr>
              <w:ind w:firstLine="0"/>
              <w:jc w:val="both"/>
              <w:outlineLvl w:val="0"/>
              <w:rPr>
                <w:rFonts w:ascii="Times New Roman" w:eastAsia="MS Gothic" w:hAnsi="Times New Roman"/>
                <w:b/>
                <w:bCs/>
                <w:color w:val="062328"/>
                <w:sz w:val="24"/>
                <w:szCs w:val="24"/>
              </w:rPr>
            </w:pPr>
            <w:bookmarkStart w:id="113" w:name="_Toc431467695"/>
            <w:bookmarkStart w:id="114" w:name="_Toc431474276"/>
            <w:proofErr w:type="spellStart"/>
            <w:r w:rsidRPr="00A44E5D">
              <w:rPr>
                <w:rFonts w:ascii="Times New Roman" w:eastAsia="MS Gothic" w:hAnsi="Times New Roman"/>
                <w:b/>
                <w:bCs/>
                <w:color w:val="062328"/>
                <w:sz w:val="24"/>
                <w:szCs w:val="24"/>
              </w:rPr>
              <w:t>Imperial</w:t>
            </w:r>
            <w:proofErr w:type="spellEnd"/>
            <w:r w:rsidRPr="00A44E5D">
              <w:rPr>
                <w:rFonts w:ascii="Times New Roman" w:eastAsia="MS Gothic" w:hAnsi="Times New Roman"/>
                <w:b/>
                <w:bCs/>
                <w:color w:val="062328"/>
                <w:sz w:val="24"/>
                <w:szCs w:val="24"/>
              </w:rPr>
              <w:t xml:space="preserve"> </w:t>
            </w:r>
            <w:proofErr w:type="spellStart"/>
            <w:r w:rsidRPr="00A44E5D">
              <w:rPr>
                <w:rFonts w:ascii="Times New Roman" w:eastAsia="MS Gothic" w:hAnsi="Times New Roman"/>
                <w:b/>
                <w:bCs/>
                <w:color w:val="062328"/>
                <w:sz w:val="24"/>
                <w:szCs w:val="24"/>
              </w:rPr>
              <w:t>Energy</w:t>
            </w:r>
            <w:proofErr w:type="spellEnd"/>
            <w:r w:rsidRPr="00A44E5D">
              <w:rPr>
                <w:rFonts w:ascii="Times New Roman" w:eastAsia="MS Gothic" w:hAnsi="Times New Roman"/>
                <w:b/>
                <w:bCs/>
                <w:color w:val="062328"/>
                <w:sz w:val="24"/>
                <w:szCs w:val="24"/>
              </w:rPr>
              <w:t xml:space="preserve"> (ONGC)</w:t>
            </w:r>
            <w:bookmarkEnd w:id="113"/>
            <w:bookmarkEnd w:id="114"/>
          </w:p>
        </w:tc>
        <w:tc>
          <w:tcPr>
            <w:tcW w:w="1985" w:type="dxa"/>
            <w:tcBorders>
              <w:top w:val="single" w:sz="4" w:space="0" w:color="FFFFFF"/>
              <w:bottom w:val="single" w:sz="4" w:space="0" w:color="FFFFFF"/>
            </w:tcBorders>
            <w:shd w:val="clear" w:color="auto" w:fill="C6D9F1" w:themeFill="text2" w:themeFillTint="33"/>
            <w:noWrap/>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115" w:name="_Toc431467696"/>
            <w:bookmarkStart w:id="116" w:name="_Toc431474277"/>
            <w:r w:rsidRPr="00A44E5D">
              <w:rPr>
                <w:rFonts w:ascii="Times New Roman" w:eastAsia="MS Gothic" w:hAnsi="Times New Roman"/>
                <w:bCs/>
                <w:sz w:val="24"/>
                <w:szCs w:val="24"/>
              </w:rPr>
              <w:t>100%</w:t>
            </w:r>
            <w:bookmarkEnd w:id="115"/>
            <w:bookmarkEnd w:id="116"/>
          </w:p>
        </w:tc>
        <w:tc>
          <w:tcPr>
            <w:tcW w:w="2160" w:type="dxa"/>
            <w:tcBorders>
              <w:top w:val="single" w:sz="4" w:space="0" w:color="FFFFFF"/>
              <w:bottom w:val="single" w:sz="4" w:space="0" w:color="FFFFFF"/>
            </w:tcBorders>
            <w:shd w:val="clear" w:color="auto" w:fill="C6D9F1" w:themeFill="text2" w:themeFillTint="33"/>
            <w:noWrap/>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117" w:name="_Toc431467697"/>
            <w:bookmarkStart w:id="118" w:name="_Toc431474278"/>
            <w:r w:rsidRPr="00A44E5D">
              <w:rPr>
                <w:rFonts w:ascii="Times New Roman" w:eastAsia="MS Gothic" w:hAnsi="Times New Roman"/>
                <w:bCs/>
                <w:sz w:val="24"/>
                <w:szCs w:val="24"/>
              </w:rPr>
              <w:t>0,29</w:t>
            </w:r>
            <w:bookmarkEnd w:id="117"/>
            <w:bookmarkEnd w:id="118"/>
          </w:p>
        </w:tc>
        <w:tc>
          <w:tcPr>
            <w:tcW w:w="2464" w:type="dxa"/>
            <w:tcBorders>
              <w:top w:val="single" w:sz="4" w:space="0" w:color="FFFFFF"/>
              <w:bottom w:val="single" w:sz="4" w:space="0" w:color="FFFFFF"/>
            </w:tcBorders>
            <w:shd w:val="clear" w:color="auto" w:fill="C6D9F1" w:themeFill="text2" w:themeFillTint="33"/>
            <w:noWrap/>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119" w:name="_Toc431467698"/>
            <w:bookmarkStart w:id="120" w:name="_Toc431474279"/>
            <w:r w:rsidRPr="00A44E5D">
              <w:rPr>
                <w:rFonts w:ascii="Times New Roman" w:eastAsia="MS Gothic" w:hAnsi="Times New Roman"/>
                <w:bCs/>
                <w:sz w:val="24"/>
                <w:szCs w:val="24"/>
              </w:rPr>
              <w:t>0,29</w:t>
            </w:r>
            <w:bookmarkEnd w:id="119"/>
            <w:bookmarkEnd w:id="120"/>
          </w:p>
        </w:tc>
      </w:tr>
      <w:tr w:rsidR="00A44E5D" w:rsidRPr="00A44E5D" w:rsidTr="007C67F6">
        <w:trPr>
          <w:trHeight w:val="260"/>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noWrap/>
            <w:hideMark/>
          </w:tcPr>
          <w:p w:rsidR="00A44E5D" w:rsidRPr="00A44E5D" w:rsidRDefault="00A44E5D" w:rsidP="007C67F6">
            <w:pPr>
              <w:pBdr>
                <w:bottom w:val="single" w:sz="12" w:space="1" w:color="0F5B68"/>
              </w:pBdr>
              <w:ind w:firstLine="0"/>
              <w:jc w:val="both"/>
              <w:outlineLvl w:val="0"/>
              <w:rPr>
                <w:rFonts w:ascii="Times New Roman" w:eastAsia="MS Gothic" w:hAnsi="Times New Roman"/>
                <w:b/>
                <w:bCs/>
                <w:color w:val="062328"/>
                <w:sz w:val="24"/>
                <w:szCs w:val="24"/>
              </w:rPr>
            </w:pPr>
            <w:bookmarkStart w:id="121" w:name="_Toc431467699"/>
            <w:bookmarkStart w:id="122" w:name="_Toc431474280"/>
            <w:r w:rsidRPr="00A44E5D">
              <w:rPr>
                <w:rFonts w:ascii="Times New Roman" w:eastAsia="MS Gothic" w:hAnsi="Times New Roman"/>
                <w:b/>
                <w:bCs/>
                <w:color w:val="062328"/>
                <w:sz w:val="24"/>
                <w:szCs w:val="24"/>
              </w:rPr>
              <w:t>ОАО «</w:t>
            </w:r>
            <w:proofErr w:type="spellStart"/>
            <w:r w:rsidRPr="00A44E5D">
              <w:rPr>
                <w:rFonts w:ascii="Times New Roman" w:eastAsia="MS Gothic" w:hAnsi="Times New Roman"/>
                <w:b/>
                <w:bCs/>
                <w:color w:val="062328"/>
                <w:sz w:val="24"/>
                <w:szCs w:val="24"/>
              </w:rPr>
              <w:t>Русснефть</w:t>
            </w:r>
            <w:proofErr w:type="spellEnd"/>
            <w:r w:rsidRPr="00A44E5D">
              <w:rPr>
                <w:rFonts w:ascii="Times New Roman" w:eastAsia="MS Gothic" w:hAnsi="Times New Roman"/>
                <w:b/>
                <w:bCs/>
                <w:color w:val="062328"/>
                <w:sz w:val="24"/>
                <w:szCs w:val="24"/>
              </w:rPr>
              <w:t>»</w:t>
            </w:r>
            <w:bookmarkEnd w:id="121"/>
            <w:bookmarkEnd w:id="122"/>
          </w:p>
        </w:tc>
        <w:tc>
          <w:tcPr>
            <w:tcW w:w="1985" w:type="dxa"/>
            <w:tcBorders>
              <w:top w:val="single" w:sz="4" w:space="0" w:color="FFFFFF"/>
              <w:bottom w:val="single" w:sz="4" w:space="0" w:color="FFFFFF"/>
            </w:tcBorders>
            <w:shd w:val="clear" w:color="auto" w:fill="DBE5F1" w:themeFill="accent1" w:themeFillTint="33"/>
            <w:noWrap/>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123" w:name="_Toc431467700"/>
            <w:bookmarkStart w:id="124" w:name="_Toc431474281"/>
            <w:r w:rsidRPr="00A44E5D">
              <w:rPr>
                <w:rFonts w:ascii="Times New Roman" w:eastAsia="MS Gothic" w:hAnsi="Times New Roman"/>
                <w:bCs/>
                <w:sz w:val="24"/>
                <w:szCs w:val="24"/>
              </w:rPr>
              <w:t>46%</w:t>
            </w:r>
            <w:bookmarkEnd w:id="123"/>
            <w:bookmarkEnd w:id="124"/>
          </w:p>
        </w:tc>
        <w:tc>
          <w:tcPr>
            <w:tcW w:w="2160" w:type="dxa"/>
            <w:tcBorders>
              <w:top w:val="single" w:sz="4" w:space="0" w:color="FFFFFF"/>
              <w:bottom w:val="single" w:sz="4" w:space="0" w:color="FFFFFF"/>
            </w:tcBorders>
            <w:shd w:val="clear" w:color="auto" w:fill="DBE5F1" w:themeFill="accent1" w:themeFillTint="33"/>
            <w:noWrap/>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125" w:name="_Toc431467701"/>
            <w:bookmarkStart w:id="126" w:name="_Toc431474282"/>
            <w:r w:rsidRPr="00A44E5D">
              <w:rPr>
                <w:rFonts w:ascii="Times New Roman" w:eastAsia="MS Gothic" w:hAnsi="Times New Roman"/>
                <w:bCs/>
                <w:sz w:val="24"/>
                <w:szCs w:val="24"/>
              </w:rPr>
              <w:t>8,5521</w:t>
            </w:r>
            <w:bookmarkEnd w:id="125"/>
            <w:bookmarkEnd w:id="126"/>
          </w:p>
        </w:tc>
        <w:tc>
          <w:tcPr>
            <w:tcW w:w="2464" w:type="dxa"/>
            <w:tcBorders>
              <w:top w:val="single" w:sz="4" w:space="0" w:color="FFFFFF"/>
              <w:bottom w:val="single" w:sz="4" w:space="0" w:color="FFFFFF"/>
            </w:tcBorders>
            <w:shd w:val="clear" w:color="auto" w:fill="DBE5F1" w:themeFill="accent1" w:themeFillTint="33"/>
            <w:noWrap/>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127" w:name="_Toc431467702"/>
            <w:bookmarkStart w:id="128" w:name="_Toc431474283"/>
            <w:r w:rsidRPr="00A44E5D">
              <w:rPr>
                <w:rFonts w:ascii="Times New Roman" w:eastAsia="MS Gothic" w:hAnsi="Times New Roman"/>
                <w:bCs/>
                <w:sz w:val="24"/>
                <w:szCs w:val="24"/>
              </w:rPr>
              <w:t>3,93</w:t>
            </w:r>
            <w:bookmarkEnd w:id="127"/>
            <w:bookmarkEnd w:id="128"/>
          </w:p>
        </w:tc>
      </w:tr>
      <w:tr w:rsidR="00A44E5D" w:rsidRPr="00A44E5D" w:rsidTr="007C67F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noWrap/>
            <w:hideMark/>
          </w:tcPr>
          <w:p w:rsidR="00A44E5D" w:rsidRPr="00A44E5D" w:rsidRDefault="00A44E5D" w:rsidP="007C67F6">
            <w:pPr>
              <w:pBdr>
                <w:bottom w:val="single" w:sz="12" w:space="1" w:color="0F5B68"/>
              </w:pBdr>
              <w:ind w:firstLine="0"/>
              <w:jc w:val="both"/>
              <w:outlineLvl w:val="0"/>
              <w:rPr>
                <w:rFonts w:ascii="Times New Roman" w:eastAsia="MS Gothic" w:hAnsi="Times New Roman"/>
                <w:b/>
                <w:bCs/>
                <w:color w:val="062328"/>
                <w:sz w:val="24"/>
                <w:szCs w:val="24"/>
              </w:rPr>
            </w:pPr>
            <w:bookmarkStart w:id="129" w:name="_Toc431467703"/>
            <w:bookmarkStart w:id="130" w:name="_Toc431474284"/>
            <w:r w:rsidRPr="00A44E5D">
              <w:rPr>
                <w:rFonts w:ascii="Times New Roman" w:eastAsia="MS Gothic" w:hAnsi="Times New Roman"/>
                <w:b/>
                <w:bCs/>
                <w:color w:val="062328"/>
                <w:sz w:val="24"/>
                <w:szCs w:val="24"/>
              </w:rPr>
              <w:t>ОАО «НК «Роснефть»</w:t>
            </w:r>
            <w:bookmarkEnd w:id="129"/>
            <w:bookmarkEnd w:id="130"/>
          </w:p>
        </w:tc>
        <w:tc>
          <w:tcPr>
            <w:tcW w:w="1985" w:type="dxa"/>
            <w:tcBorders>
              <w:top w:val="single" w:sz="4" w:space="0" w:color="FFFFFF"/>
              <w:bottom w:val="single" w:sz="4" w:space="0" w:color="FFFFFF"/>
            </w:tcBorders>
            <w:shd w:val="clear" w:color="auto" w:fill="C6D9F1" w:themeFill="text2" w:themeFillTint="33"/>
            <w:noWrap/>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131" w:name="_Toc431467704"/>
            <w:bookmarkStart w:id="132" w:name="_Toc431474285"/>
            <w:r w:rsidRPr="00A44E5D">
              <w:rPr>
                <w:rFonts w:ascii="Times New Roman" w:eastAsia="MS Gothic" w:hAnsi="Times New Roman"/>
                <w:bCs/>
                <w:sz w:val="24"/>
                <w:szCs w:val="24"/>
              </w:rPr>
              <w:t>27,25%</w:t>
            </w:r>
            <w:bookmarkEnd w:id="131"/>
            <w:bookmarkEnd w:id="132"/>
          </w:p>
        </w:tc>
        <w:tc>
          <w:tcPr>
            <w:tcW w:w="2160" w:type="dxa"/>
            <w:tcBorders>
              <w:top w:val="single" w:sz="4" w:space="0" w:color="FFFFFF"/>
              <w:bottom w:val="single" w:sz="4" w:space="0" w:color="FFFFFF"/>
            </w:tcBorders>
            <w:shd w:val="clear" w:color="auto" w:fill="C6D9F1" w:themeFill="text2" w:themeFillTint="33"/>
            <w:noWrap/>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133" w:name="_Toc431467705"/>
            <w:bookmarkStart w:id="134" w:name="_Toc431474286"/>
            <w:r w:rsidRPr="00A44E5D">
              <w:rPr>
                <w:rFonts w:ascii="Times New Roman" w:eastAsia="MS Gothic" w:hAnsi="Times New Roman"/>
                <w:bCs/>
                <w:sz w:val="24"/>
                <w:szCs w:val="24"/>
              </w:rPr>
              <w:t>190,9</w:t>
            </w:r>
            <w:bookmarkEnd w:id="133"/>
            <w:bookmarkEnd w:id="134"/>
          </w:p>
        </w:tc>
        <w:tc>
          <w:tcPr>
            <w:tcW w:w="2464" w:type="dxa"/>
            <w:tcBorders>
              <w:top w:val="single" w:sz="4" w:space="0" w:color="FFFFFF"/>
              <w:bottom w:val="single" w:sz="4" w:space="0" w:color="FFFFFF"/>
            </w:tcBorders>
            <w:shd w:val="clear" w:color="auto" w:fill="C6D9F1" w:themeFill="text2" w:themeFillTint="33"/>
            <w:noWrap/>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135" w:name="_Toc431467706"/>
            <w:bookmarkStart w:id="136" w:name="_Toc431474287"/>
            <w:r w:rsidRPr="00A44E5D">
              <w:rPr>
                <w:rFonts w:ascii="Times New Roman" w:eastAsia="MS Gothic" w:hAnsi="Times New Roman"/>
                <w:bCs/>
                <w:sz w:val="24"/>
                <w:szCs w:val="24"/>
              </w:rPr>
              <w:t>52,02</w:t>
            </w:r>
            <w:bookmarkEnd w:id="135"/>
            <w:bookmarkEnd w:id="136"/>
          </w:p>
        </w:tc>
      </w:tr>
      <w:tr w:rsidR="00A44E5D" w:rsidRPr="00A44E5D" w:rsidTr="007C67F6">
        <w:trPr>
          <w:trHeight w:val="260"/>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noWrap/>
            <w:hideMark/>
          </w:tcPr>
          <w:p w:rsidR="00A44E5D" w:rsidRPr="00A44E5D" w:rsidRDefault="00A44E5D" w:rsidP="007C67F6">
            <w:pPr>
              <w:pBdr>
                <w:bottom w:val="single" w:sz="12" w:space="1" w:color="0F5B68"/>
              </w:pBdr>
              <w:ind w:firstLine="0"/>
              <w:jc w:val="both"/>
              <w:outlineLvl w:val="0"/>
              <w:rPr>
                <w:rFonts w:ascii="Times New Roman" w:eastAsia="MS Gothic" w:hAnsi="Times New Roman"/>
                <w:b/>
                <w:bCs/>
                <w:color w:val="062328"/>
                <w:sz w:val="24"/>
                <w:szCs w:val="24"/>
              </w:rPr>
            </w:pPr>
            <w:bookmarkStart w:id="137" w:name="_Toc431467707"/>
            <w:bookmarkStart w:id="138" w:name="_Toc431474288"/>
            <w:r w:rsidRPr="00A44E5D">
              <w:rPr>
                <w:rFonts w:ascii="Times New Roman" w:eastAsia="MS Gothic" w:hAnsi="Times New Roman"/>
                <w:b/>
                <w:bCs/>
                <w:color w:val="062328"/>
                <w:sz w:val="24"/>
                <w:szCs w:val="24"/>
              </w:rPr>
              <w:t>ПАО «ЛУКОЙЛ»</w:t>
            </w:r>
            <w:bookmarkEnd w:id="137"/>
            <w:bookmarkEnd w:id="138"/>
          </w:p>
        </w:tc>
        <w:tc>
          <w:tcPr>
            <w:tcW w:w="1985" w:type="dxa"/>
            <w:tcBorders>
              <w:top w:val="single" w:sz="4" w:space="0" w:color="FFFFFF"/>
              <w:bottom w:val="single" w:sz="4" w:space="0" w:color="FFFFFF"/>
            </w:tcBorders>
            <w:shd w:val="clear" w:color="auto" w:fill="DBE5F1" w:themeFill="accent1" w:themeFillTint="33"/>
            <w:noWrap/>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139" w:name="_Toc431467708"/>
            <w:bookmarkStart w:id="140" w:name="_Toc431474289"/>
            <w:r w:rsidRPr="00A44E5D">
              <w:rPr>
                <w:rFonts w:ascii="Times New Roman" w:eastAsia="MS Gothic" w:hAnsi="Times New Roman"/>
                <w:bCs/>
                <w:sz w:val="24"/>
                <w:szCs w:val="24"/>
              </w:rPr>
              <w:t>34,02%</w:t>
            </w:r>
            <w:bookmarkEnd w:id="139"/>
            <w:bookmarkEnd w:id="140"/>
          </w:p>
        </w:tc>
        <w:tc>
          <w:tcPr>
            <w:tcW w:w="2160" w:type="dxa"/>
            <w:tcBorders>
              <w:top w:val="single" w:sz="4" w:space="0" w:color="FFFFFF"/>
              <w:bottom w:val="single" w:sz="4" w:space="0" w:color="FFFFFF"/>
            </w:tcBorders>
            <w:shd w:val="clear" w:color="auto" w:fill="DBE5F1" w:themeFill="accent1" w:themeFillTint="33"/>
            <w:noWrap/>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141" w:name="_Toc431467709"/>
            <w:bookmarkStart w:id="142" w:name="_Toc431474290"/>
            <w:r w:rsidRPr="00A44E5D">
              <w:rPr>
                <w:rFonts w:ascii="Times New Roman" w:eastAsia="MS Gothic" w:hAnsi="Times New Roman"/>
                <w:bCs/>
                <w:sz w:val="24"/>
                <w:szCs w:val="24"/>
              </w:rPr>
              <w:t>86,5713</w:t>
            </w:r>
            <w:bookmarkEnd w:id="141"/>
            <w:bookmarkEnd w:id="142"/>
          </w:p>
        </w:tc>
        <w:tc>
          <w:tcPr>
            <w:tcW w:w="2464" w:type="dxa"/>
            <w:tcBorders>
              <w:top w:val="single" w:sz="4" w:space="0" w:color="FFFFFF"/>
              <w:bottom w:val="single" w:sz="4" w:space="0" w:color="FFFFFF"/>
            </w:tcBorders>
            <w:shd w:val="clear" w:color="auto" w:fill="DBE5F1" w:themeFill="accent1" w:themeFillTint="33"/>
            <w:noWrap/>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143" w:name="_Toc431467710"/>
            <w:bookmarkStart w:id="144" w:name="_Toc431474291"/>
            <w:r w:rsidRPr="00A44E5D">
              <w:rPr>
                <w:rFonts w:ascii="Times New Roman" w:eastAsia="MS Gothic" w:hAnsi="Times New Roman"/>
                <w:bCs/>
                <w:sz w:val="24"/>
                <w:szCs w:val="24"/>
              </w:rPr>
              <w:t>29,45</w:t>
            </w:r>
            <w:bookmarkEnd w:id="143"/>
            <w:bookmarkEnd w:id="144"/>
          </w:p>
        </w:tc>
      </w:tr>
      <w:tr w:rsidR="00A44E5D" w:rsidRPr="00A44E5D" w:rsidTr="007C67F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noWrap/>
            <w:hideMark/>
          </w:tcPr>
          <w:p w:rsidR="00A44E5D" w:rsidRPr="00A44E5D" w:rsidRDefault="00A44E5D" w:rsidP="007C67F6">
            <w:pPr>
              <w:pBdr>
                <w:bottom w:val="single" w:sz="12" w:space="1" w:color="0F5B68"/>
              </w:pBdr>
              <w:ind w:firstLine="0"/>
              <w:jc w:val="both"/>
              <w:outlineLvl w:val="0"/>
              <w:rPr>
                <w:rFonts w:ascii="Times New Roman" w:eastAsia="MS Gothic" w:hAnsi="Times New Roman"/>
                <w:b/>
                <w:bCs/>
                <w:color w:val="062328"/>
                <w:sz w:val="24"/>
                <w:szCs w:val="24"/>
              </w:rPr>
            </w:pPr>
            <w:bookmarkStart w:id="145" w:name="_Toc431467711"/>
            <w:bookmarkStart w:id="146" w:name="_Toc431474292"/>
            <w:r w:rsidRPr="00A44E5D">
              <w:rPr>
                <w:rFonts w:ascii="Times New Roman" w:eastAsia="MS Gothic" w:hAnsi="Times New Roman"/>
                <w:b/>
                <w:bCs/>
                <w:color w:val="062328"/>
                <w:sz w:val="24"/>
                <w:szCs w:val="24"/>
              </w:rPr>
              <w:t>ОАО «Газпром нефть»</w:t>
            </w:r>
            <w:bookmarkEnd w:id="145"/>
            <w:bookmarkEnd w:id="146"/>
          </w:p>
        </w:tc>
        <w:tc>
          <w:tcPr>
            <w:tcW w:w="1985" w:type="dxa"/>
            <w:tcBorders>
              <w:top w:val="single" w:sz="4" w:space="0" w:color="FFFFFF"/>
              <w:bottom w:val="single" w:sz="4" w:space="0" w:color="FFFFFF"/>
            </w:tcBorders>
            <w:shd w:val="clear" w:color="auto" w:fill="C6D9F1" w:themeFill="text2" w:themeFillTint="33"/>
            <w:noWrap/>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147" w:name="_Toc431467712"/>
            <w:bookmarkStart w:id="148" w:name="_Toc431474293"/>
            <w:r w:rsidRPr="00A44E5D">
              <w:rPr>
                <w:rFonts w:ascii="Times New Roman" w:eastAsia="MS Gothic" w:hAnsi="Times New Roman"/>
                <w:bCs/>
                <w:sz w:val="24"/>
                <w:szCs w:val="24"/>
              </w:rPr>
              <w:t>27,60%</w:t>
            </w:r>
            <w:bookmarkEnd w:id="147"/>
            <w:bookmarkEnd w:id="148"/>
          </w:p>
        </w:tc>
        <w:tc>
          <w:tcPr>
            <w:tcW w:w="2160" w:type="dxa"/>
            <w:tcBorders>
              <w:top w:val="single" w:sz="4" w:space="0" w:color="FFFFFF"/>
              <w:bottom w:val="single" w:sz="4" w:space="0" w:color="FFFFFF"/>
            </w:tcBorders>
            <w:shd w:val="clear" w:color="auto" w:fill="C6D9F1" w:themeFill="text2" w:themeFillTint="33"/>
            <w:noWrap/>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149" w:name="_Toc431467713"/>
            <w:bookmarkStart w:id="150" w:name="_Toc431474294"/>
            <w:r w:rsidRPr="00A44E5D">
              <w:rPr>
                <w:rFonts w:ascii="Times New Roman" w:eastAsia="MS Gothic" w:hAnsi="Times New Roman"/>
                <w:bCs/>
                <w:sz w:val="24"/>
                <w:szCs w:val="24"/>
              </w:rPr>
              <w:t>33,6354</w:t>
            </w:r>
            <w:bookmarkEnd w:id="149"/>
            <w:bookmarkEnd w:id="150"/>
          </w:p>
        </w:tc>
        <w:tc>
          <w:tcPr>
            <w:tcW w:w="2464" w:type="dxa"/>
            <w:tcBorders>
              <w:top w:val="single" w:sz="4" w:space="0" w:color="FFFFFF"/>
              <w:bottom w:val="single" w:sz="4" w:space="0" w:color="FFFFFF"/>
            </w:tcBorders>
            <w:shd w:val="clear" w:color="auto" w:fill="C6D9F1" w:themeFill="text2" w:themeFillTint="33"/>
            <w:noWrap/>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151" w:name="_Toc431467714"/>
            <w:bookmarkStart w:id="152" w:name="_Toc431474295"/>
            <w:r w:rsidRPr="00A44E5D">
              <w:rPr>
                <w:rFonts w:ascii="Times New Roman" w:eastAsia="MS Gothic" w:hAnsi="Times New Roman"/>
                <w:bCs/>
                <w:sz w:val="24"/>
                <w:szCs w:val="24"/>
              </w:rPr>
              <w:t>9,28</w:t>
            </w:r>
            <w:bookmarkEnd w:id="151"/>
            <w:bookmarkEnd w:id="152"/>
          </w:p>
        </w:tc>
      </w:tr>
      <w:tr w:rsidR="00A44E5D" w:rsidRPr="00A44E5D" w:rsidTr="007C67F6">
        <w:trPr>
          <w:trHeight w:val="260"/>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noWrap/>
            <w:hideMark/>
          </w:tcPr>
          <w:p w:rsidR="00A44E5D" w:rsidRPr="00A44E5D" w:rsidRDefault="00A44E5D" w:rsidP="007C67F6">
            <w:pPr>
              <w:pBdr>
                <w:bottom w:val="single" w:sz="12" w:space="1" w:color="0F5B68"/>
              </w:pBdr>
              <w:ind w:firstLine="0"/>
              <w:jc w:val="both"/>
              <w:outlineLvl w:val="0"/>
              <w:rPr>
                <w:rFonts w:ascii="Times New Roman" w:eastAsia="MS Gothic" w:hAnsi="Times New Roman"/>
                <w:b/>
                <w:bCs/>
                <w:color w:val="062328"/>
                <w:sz w:val="24"/>
                <w:szCs w:val="24"/>
              </w:rPr>
            </w:pPr>
            <w:bookmarkStart w:id="153" w:name="_Toc431467715"/>
            <w:bookmarkStart w:id="154" w:name="_Toc431474296"/>
            <w:r w:rsidRPr="00A44E5D">
              <w:rPr>
                <w:rFonts w:ascii="Times New Roman" w:eastAsia="MS Gothic" w:hAnsi="Times New Roman"/>
                <w:b/>
                <w:bCs/>
                <w:color w:val="062328"/>
                <w:sz w:val="24"/>
                <w:szCs w:val="24"/>
              </w:rPr>
              <w:t>ОАО «Сургутнефтегаз»</w:t>
            </w:r>
            <w:bookmarkEnd w:id="153"/>
            <w:bookmarkEnd w:id="154"/>
          </w:p>
        </w:tc>
        <w:tc>
          <w:tcPr>
            <w:tcW w:w="1985" w:type="dxa"/>
            <w:tcBorders>
              <w:top w:val="single" w:sz="4" w:space="0" w:color="FFFFFF"/>
              <w:bottom w:val="single" w:sz="4" w:space="0" w:color="FFFFFF"/>
            </w:tcBorders>
            <w:shd w:val="clear" w:color="auto" w:fill="DBE5F1" w:themeFill="accent1" w:themeFillTint="33"/>
            <w:noWrap/>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155" w:name="_Toc431467716"/>
            <w:bookmarkStart w:id="156" w:name="_Toc431474297"/>
            <w:r w:rsidRPr="00A44E5D">
              <w:rPr>
                <w:rFonts w:ascii="Times New Roman" w:eastAsia="MS Gothic" w:hAnsi="Times New Roman"/>
                <w:bCs/>
                <w:sz w:val="24"/>
                <w:szCs w:val="24"/>
              </w:rPr>
              <w:t>7,16%</w:t>
            </w:r>
            <w:bookmarkEnd w:id="155"/>
            <w:bookmarkEnd w:id="156"/>
          </w:p>
        </w:tc>
        <w:tc>
          <w:tcPr>
            <w:tcW w:w="2160" w:type="dxa"/>
            <w:tcBorders>
              <w:top w:val="single" w:sz="4" w:space="0" w:color="FFFFFF"/>
              <w:bottom w:val="single" w:sz="4" w:space="0" w:color="FFFFFF"/>
            </w:tcBorders>
            <w:shd w:val="clear" w:color="auto" w:fill="DBE5F1" w:themeFill="accent1" w:themeFillTint="33"/>
            <w:noWrap/>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157" w:name="_Toc431467717"/>
            <w:bookmarkStart w:id="158" w:name="_Toc431474298"/>
            <w:r w:rsidRPr="00A44E5D">
              <w:rPr>
                <w:rFonts w:ascii="Times New Roman" w:eastAsia="MS Gothic" w:hAnsi="Times New Roman"/>
                <w:bCs/>
                <w:sz w:val="24"/>
                <w:szCs w:val="24"/>
              </w:rPr>
              <w:t>61,425</w:t>
            </w:r>
            <w:bookmarkEnd w:id="157"/>
            <w:bookmarkEnd w:id="158"/>
          </w:p>
        </w:tc>
        <w:tc>
          <w:tcPr>
            <w:tcW w:w="2464" w:type="dxa"/>
            <w:tcBorders>
              <w:top w:val="single" w:sz="4" w:space="0" w:color="FFFFFF"/>
              <w:bottom w:val="single" w:sz="4" w:space="0" w:color="FFFFFF"/>
            </w:tcBorders>
            <w:shd w:val="clear" w:color="auto" w:fill="DBE5F1" w:themeFill="accent1" w:themeFillTint="33"/>
            <w:noWrap/>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159" w:name="_Toc431467718"/>
            <w:bookmarkStart w:id="160" w:name="_Toc431474299"/>
            <w:r w:rsidRPr="00A44E5D">
              <w:rPr>
                <w:rFonts w:ascii="Times New Roman" w:eastAsia="MS Gothic" w:hAnsi="Times New Roman"/>
                <w:bCs/>
                <w:sz w:val="24"/>
                <w:szCs w:val="24"/>
              </w:rPr>
              <w:t>4,40</w:t>
            </w:r>
            <w:bookmarkEnd w:id="159"/>
            <w:bookmarkEnd w:id="160"/>
          </w:p>
        </w:tc>
      </w:tr>
      <w:tr w:rsidR="00A44E5D" w:rsidRPr="00A44E5D" w:rsidTr="007C67F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noWrap/>
            <w:hideMark/>
          </w:tcPr>
          <w:p w:rsidR="00A44E5D" w:rsidRPr="00A44E5D" w:rsidRDefault="00A44E5D" w:rsidP="007C67F6">
            <w:pPr>
              <w:pBdr>
                <w:bottom w:val="single" w:sz="12" w:space="1" w:color="0F5B68"/>
              </w:pBdr>
              <w:ind w:firstLine="0"/>
              <w:jc w:val="both"/>
              <w:outlineLvl w:val="0"/>
              <w:rPr>
                <w:rFonts w:ascii="Times New Roman" w:eastAsia="MS Gothic" w:hAnsi="Times New Roman"/>
                <w:b/>
                <w:bCs/>
                <w:color w:val="062328"/>
                <w:sz w:val="24"/>
                <w:szCs w:val="24"/>
              </w:rPr>
            </w:pPr>
            <w:bookmarkStart w:id="161" w:name="_Toc431467719"/>
            <w:bookmarkStart w:id="162" w:name="_Toc431474300"/>
            <w:r w:rsidRPr="00A44E5D">
              <w:rPr>
                <w:rFonts w:ascii="Times New Roman" w:eastAsia="MS Gothic" w:hAnsi="Times New Roman"/>
                <w:b/>
                <w:bCs/>
                <w:color w:val="062328"/>
                <w:sz w:val="24"/>
                <w:szCs w:val="24"/>
              </w:rPr>
              <w:t>ПАО «Татнефть»</w:t>
            </w:r>
            <w:bookmarkEnd w:id="161"/>
            <w:bookmarkEnd w:id="162"/>
          </w:p>
        </w:tc>
        <w:tc>
          <w:tcPr>
            <w:tcW w:w="1985" w:type="dxa"/>
            <w:tcBorders>
              <w:top w:val="single" w:sz="4" w:space="0" w:color="FFFFFF"/>
              <w:bottom w:val="single" w:sz="4" w:space="0" w:color="FFFFFF"/>
            </w:tcBorders>
            <w:shd w:val="clear" w:color="auto" w:fill="C6D9F1" w:themeFill="text2" w:themeFillTint="33"/>
            <w:noWrap/>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163" w:name="_Toc431467720"/>
            <w:bookmarkStart w:id="164" w:name="_Toc431474301"/>
            <w:r w:rsidRPr="00A44E5D">
              <w:rPr>
                <w:rFonts w:ascii="Times New Roman" w:eastAsia="MS Gothic" w:hAnsi="Times New Roman"/>
                <w:bCs/>
                <w:sz w:val="24"/>
                <w:szCs w:val="24"/>
              </w:rPr>
              <w:t>29,90%</w:t>
            </w:r>
            <w:bookmarkEnd w:id="163"/>
            <w:bookmarkEnd w:id="164"/>
          </w:p>
        </w:tc>
        <w:tc>
          <w:tcPr>
            <w:tcW w:w="2160" w:type="dxa"/>
            <w:tcBorders>
              <w:top w:val="single" w:sz="4" w:space="0" w:color="FFFFFF"/>
              <w:bottom w:val="single" w:sz="4" w:space="0" w:color="FFFFFF"/>
            </w:tcBorders>
            <w:shd w:val="clear" w:color="auto" w:fill="C6D9F1" w:themeFill="text2" w:themeFillTint="33"/>
            <w:noWrap/>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165" w:name="_Toc431467721"/>
            <w:bookmarkStart w:id="166" w:name="_Toc431474302"/>
            <w:r w:rsidRPr="00A44E5D">
              <w:rPr>
                <w:rFonts w:ascii="Times New Roman" w:eastAsia="MS Gothic" w:hAnsi="Times New Roman"/>
                <w:bCs/>
                <w:sz w:val="24"/>
                <w:szCs w:val="24"/>
              </w:rPr>
              <w:t>26,5292</w:t>
            </w:r>
            <w:bookmarkEnd w:id="165"/>
            <w:bookmarkEnd w:id="166"/>
          </w:p>
        </w:tc>
        <w:tc>
          <w:tcPr>
            <w:tcW w:w="2464" w:type="dxa"/>
            <w:tcBorders>
              <w:top w:val="single" w:sz="4" w:space="0" w:color="FFFFFF"/>
              <w:bottom w:val="single" w:sz="4" w:space="0" w:color="FFFFFF"/>
            </w:tcBorders>
            <w:shd w:val="clear" w:color="auto" w:fill="C6D9F1" w:themeFill="text2" w:themeFillTint="33"/>
            <w:noWrap/>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167" w:name="_Toc431467722"/>
            <w:bookmarkStart w:id="168" w:name="_Toc431474303"/>
            <w:r w:rsidRPr="00A44E5D">
              <w:rPr>
                <w:rFonts w:ascii="Times New Roman" w:eastAsia="MS Gothic" w:hAnsi="Times New Roman"/>
                <w:bCs/>
                <w:sz w:val="24"/>
                <w:szCs w:val="24"/>
              </w:rPr>
              <w:t>7,93</w:t>
            </w:r>
            <w:bookmarkEnd w:id="167"/>
            <w:bookmarkEnd w:id="168"/>
          </w:p>
        </w:tc>
      </w:tr>
      <w:tr w:rsidR="00A44E5D" w:rsidRPr="00A44E5D" w:rsidTr="007C67F6">
        <w:trPr>
          <w:trHeight w:val="260"/>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noWrap/>
            <w:hideMark/>
          </w:tcPr>
          <w:p w:rsidR="00A44E5D" w:rsidRPr="00A44E5D" w:rsidRDefault="00A44E5D" w:rsidP="007C67F6">
            <w:pPr>
              <w:pBdr>
                <w:bottom w:val="single" w:sz="12" w:space="1" w:color="0F5B68"/>
              </w:pBdr>
              <w:ind w:firstLine="0"/>
              <w:jc w:val="both"/>
              <w:outlineLvl w:val="0"/>
              <w:rPr>
                <w:rFonts w:ascii="Times New Roman" w:eastAsia="MS Gothic" w:hAnsi="Times New Roman"/>
                <w:b/>
                <w:bCs/>
                <w:color w:val="062328"/>
                <w:sz w:val="24"/>
                <w:szCs w:val="24"/>
              </w:rPr>
            </w:pPr>
            <w:bookmarkStart w:id="169" w:name="_Toc431467723"/>
            <w:bookmarkStart w:id="170" w:name="_Toc431474304"/>
            <w:r w:rsidRPr="00A44E5D">
              <w:rPr>
                <w:rFonts w:ascii="Times New Roman" w:eastAsia="MS Gothic" w:hAnsi="Times New Roman"/>
                <w:b/>
                <w:bCs/>
                <w:color w:val="062328"/>
                <w:sz w:val="24"/>
                <w:szCs w:val="24"/>
              </w:rPr>
              <w:t>ПАО «Газпром»</w:t>
            </w:r>
            <w:bookmarkEnd w:id="169"/>
            <w:bookmarkEnd w:id="170"/>
          </w:p>
        </w:tc>
        <w:tc>
          <w:tcPr>
            <w:tcW w:w="1985" w:type="dxa"/>
            <w:tcBorders>
              <w:top w:val="single" w:sz="4" w:space="0" w:color="FFFFFF"/>
              <w:bottom w:val="single" w:sz="4" w:space="0" w:color="FFFFFF"/>
            </w:tcBorders>
            <w:shd w:val="clear" w:color="auto" w:fill="DBE5F1" w:themeFill="accent1" w:themeFillTint="33"/>
            <w:noWrap/>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171" w:name="_Toc431467724"/>
            <w:bookmarkStart w:id="172" w:name="_Toc431474305"/>
            <w:r w:rsidRPr="00A44E5D">
              <w:rPr>
                <w:rFonts w:ascii="Times New Roman" w:eastAsia="MS Gothic" w:hAnsi="Times New Roman"/>
                <w:bCs/>
                <w:sz w:val="24"/>
                <w:szCs w:val="24"/>
              </w:rPr>
              <w:t>26,23%</w:t>
            </w:r>
            <w:bookmarkEnd w:id="171"/>
            <w:bookmarkEnd w:id="172"/>
          </w:p>
        </w:tc>
        <w:tc>
          <w:tcPr>
            <w:tcW w:w="2160" w:type="dxa"/>
            <w:tcBorders>
              <w:top w:val="single" w:sz="4" w:space="0" w:color="FFFFFF"/>
              <w:bottom w:val="single" w:sz="4" w:space="0" w:color="FFFFFF"/>
            </w:tcBorders>
            <w:shd w:val="clear" w:color="auto" w:fill="DBE5F1" w:themeFill="accent1" w:themeFillTint="33"/>
            <w:noWrap/>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173" w:name="_Toc431467725"/>
            <w:bookmarkStart w:id="174" w:name="_Toc431474306"/>
            <w:r w:rsidRPr="00A44E5D">
              <w:rPr>
                <w:rFonts w:ascii="Times New Roman" w:eastAsia="MS Gothic" w:hAnsi="Times New Roman"/>
                <w:bCs/>
                <w:sz w:val="24"/>
                <w:szCs w:val="24"/>
              </w:rPr>
              <w:t>16,2021</w:t>
            </w:r>
            <w:bookmarkEnd w:id="173"/>
            <w:bookmarkEnd w:id="174"/>
          </w:p>
        </w:tc>
        <w:tc>
          <w:tcPr>
            <w:tcW w:w="2464" w:type="dxa"/>
            <w:tcBorders>
              <w:top w:val="single" w:sz="4" w:space="0" w:color="FFFFFF"/>
              <w:bottom w:val="single" w:sz="4" w:space="0" w:color="FFFFFF"/>
            </w:tcBorders>
            <w:shd w:val="clear" w:color="auto" w:fill="DBE5F1" w:themeFill="accent1" w:themeFillTint="33"/>
            <w:noWrap/>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175" w:name="_Toc431467726"/>
            <w:bookmarkStart w:id="176" w:name="_Toc431474307"/>
            <w:r w:rsidRPr="00A44E5D">
              <w:rPr>
                <w:rFonts w:ascii="Times New Roman" w:eastAsia="MS Gothic" w:hAnsi="Times New Roman"/>
                <w:bCs/>
                <w:sz w:val="24"/>
                <w:szCs w:val="24"/>
              </w:rPr>
              <w:t>4,25</w:t>
            </w:r>
            <w:bookmarkEnd w:id="175"/>
            <w:bookmarkEnd w:id="176"/>
          </w:p>
        </w:tc>
      </w:tr>
      <w:tr w:rsidR="00A44E5D" w:rsidRPr="00A44E5D" w:rsidTr="007C67F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noWrap/>
            <w:hideMark/>
          </w:tcPr>
          <w:p w:rsidR="00A44E5D" w:rsidRPr="00A44E5D" w:rsidRDefault="00A44E5D" w:rsidP="007C67F6">
            <w:pPr>
              <w:pBdr>
                <w:bottom w:val="single" w:sz="12" w:space="1" w:color="0F5B68"/>
              </w:pBdr>
              <w:ind w:firstLine="0"/>
              <w:jc w:val="both"/>
              <w:outlineLvl w:val="0"/>
              <w:rPr>
                <w:rFonts w:ascii="Times New Roman" w:eastAsia="MS Gothic" w:hAnsi="Times New Roman"/>
                <w:b/>
                <w:bCs/>
                <w:color w:val="062328"/>
                <w:sz w:val="24"/>
                <w:szCs w:val="24"/>
              </w:rPr>
            </w:pPr>
            <w:bookmarkStart w:id="177" w:name="_Toc431467727"/>
            <w:bookmarkStart w:id="178" w:name="_Toc431474308"/>
            <w:r w:rsidRPr="00A44E5D">
              <w:rPr>
                <w:rFonts w:ascii="Times New Roman" w:eastAsia="MS Gothic" w:hAnsi="Times New Roman"/>
                <w:b/>
                <w:bCs/>
                <w:color w:val="062328"/>
                <w:sz w:val="24"/>
                <w:szCs w:val="24"/>
              </w:rPr>
              <w:t>ОАО «НОВАТЭК»</w:t>
            </w:r>
            <w:bookmarkEnd w:id="177"/>
            <w:bookmarkEnd w:id="178"/>
          </w:p>
        </w:tc>
        <w:tc>
          <w:tcPr>
            <w:tcW w:w="1985" w:type="dxa"/>
            <w:tcBorders>
              <w:top w:val="single" w:sz="4" w:space="0" w:color="FFFFFF"/>
            </w:tcBorders>
            <w:shd w:val="clear" w:color="auto" w:fill="C6D9F1" w:themeFill="text2" w:themeFillTint="33"/>
            <w:noWrap/>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179" w:name="_Toc431467728"/>
            <w:bookmarkStart w:id="180" w:name="_Toc431474309"/>
            <w:r w:rsidRPr="00A44E5D">
              <w:rPr>
                <w:rFonts w:ascii="Times New Roman" w:eastAsia="MS Gothic" w:hAnsi="Times New Roman"/>
                <w:bCs/>
                <w:sz w:val="24"/>
                <w:szCs w:val="24"/>
              </w:rPr>
              <w:t>48,23%</w:t>
            </w:r>
            <w:bookmarkEnd w:id="179"/>
            <w:bookmarkEnd w:id="180"/>
          </w:p>
        </w:tc>
        <w:tc>
          <w:tcPr>
            <w:tcW w:w="2160" w:type="dxa"/>
            <w:tcBorders>
              <w:top w:val="single" w:sz="4" w:space="0" w:color="FFFFFF"/>
            </w:tcBorders>
            <w:shd w:val="clear" w:color="auto" w:fill="C6D9F1" w:themeFill="text2" w:themeFillTint="33"/>
            <w:noWrap/>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181" w:name="_Toc431467729"/>
            <w:bookmarkStart w:id="182" w:name="_Toc431474310"/>
            <w:r w:rsidRPr="00A44E5D">
              <w:rPr>
                <w:rFonts w:ascii="Times New Roman" w:eastAsia="MS Gothic" w:hAnsi="Times New Roman"/>
                <w:bCs/>
                <w:sz w:val="24"/>
                <w:szCs w:val="24"/>
              </w:rPr>
              <w:t>4,3488</w:t>
            </w:r>
            <w:bookmarkEnd w:id="181"/>
            <w:bookmarkEnd w:id="182"/>
          </w:p>
        </w:tc>
        <w:tc>
          <w:tcPr>
            <w:tcW w:w="2464" w:type="dxa"/>
            <w:tcBorders>
              <w:top w:val="single" w:sz="4" w:space="0" w:color="FFFFFF"/>
            </w:tcBorders>
            <w:shd w:val="clear" w:color="auto" w:fill="C6D9F1" w:themeFill="text2" w:themeFillTint="33"/>
            <w:noWrap/>
            <w:hideMark/>
          </w:tcPr>
          <w:p w:rsidR="00A44E5D" w:rsidRPr="00A44E5D" w:rsidRDefault="00A44E5D" w:rsidP="00A44E5D">
            <w:pPr>
              <w:pBdr>
                <w:bottom w:val="single" w:sz="12" w:space="1" w:color="0F5B68"/>
              </w:pBdr>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Cs/>
                <w:sz w:val="24"/>
                <w:szCs w:val="24"/>
              </w:rPr>
            </w:pPr>
            <w:bookmarkStart w:id="183" w:name="_Toc431467730"/>
            <w:bookmarkStart w:id="184" w:name="_Toc431474311"/>
            <w:r w:rsidRPr="00A44E5D">
              <w:rPr>
                <w:rFonts w:ascii="Times New Roman" w:eastAsia="MS Gothic" w:hAnsi="Times New Roman"/>
                <w:bCs/>
                <w:sz w:val="24"/>
                <w:szCs w:val="24"/>
              </w:rPr>
              <w:t>2,10</w:t>
            </w:r>
            <w:bookmarkEnd w:id="183"/>
            <w:bookmarkEnd w:id="184"/>
          </w:p>
        </w:tc>
      </w:tr>
      <w:tr w:rsidR="00A44E5D" w:rsidRPr="00A44E5D" w:rsidTr="007C67F6">
        <w:trPr>
          <w:trHeight w:val="360"/>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noWrap/>
            <w:hideMark/>
          </w:tcPr>
          <w:p w:rsidR="00A44E5D" w:rsidRPr="00A44E5D" w:rsidRDefault="00A44E5D" w:rsidP="00A44E5D">
            <w:pPr>
              <w:pBdr>
                <w:bottom w:val="single" w:sz="12" w:space="1" w:color="0F5B68"/>
              </w:pBdr>
              <w:jc w:val="both"/>
              <w:outlineLvl w:val="0"/>
              <w:rPr>
                <w:rFonts w:ascii="Times New Roman" w:eastAsia="MS Gothic" w:hAnsi="Times New Roman"/>
                <w:b/>
                <w:bCs/>
                <w:color w:val="062328"/>
                <w:sz w:val="24"/>
                <w:szCs w:val="24"/>
              </w:rPr>
            </w:pPr>
          </w:p>
        </w:tc>
        <w:tc>
          <w:tcPr>
            <w:tcW w:w="1985" w:type="dxa"/>
            <w:shd w:val="clear" w:color="auto" w:fill="C6D9F1" w:themeFill="text2" w:themeFillTint="33"/>
            <w:noWrap/>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p>
        </w:tc>
        <w:tc>
          <w:tcPr>
            <w:tcW w:w="2160" w:type="dxa"/>
            <w:shd w:val="clear" w:color="auto" w:fill="C6D9F1" w:themeFill="text2" w:themeFillTint="33"/>
            <w:noWrap/>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185" w:name="_Toc431467731"/>
            <w:bookmarkStart w:id="186" w:name="_Toc431474312"/>
            <w:r w:rsidRPr="00A44E5D">
              <w:rPr>
                <w:rFonts w:ascii="Times New Roman" w:eastAsia="MS Gothic" w:hAnsi="Times New Roman"/>
                <w:bCs/>
                <w:sz w:val="24"/>
                <w:szCs w:val="24"/>
              </w:rPr>
              <w:t>Всего доля в добыче:</w:t>
            </w:r>
            <w:bookmarkEnd w:id="185"/>
            <w:bookmarkEnd w:id="186"/>
          </w:p>
        </w:tc>
        <w:tc>
          <w:tcPr>
            <w:tcW w:w="2464" w:type="dxa"/>
            <w:shd w:val="clear" w:color="auto" w:fill="C6D9F1" w:themeFill="text2" w:themeFillTint="33"/>
            <w:noWrap/>
            <w:vAlign w:val="center"/>
            <w:hideMark/>
          </w:tcPr>
          <w:p w:rsidR="00A44E5D" w:rsidRPr="00A44E5D" w:rsidRDefault="00A44E5D" w:rsidP="00A44E5D">
            <w:pPr>
              <w:pBdr>
                <w:bottom w:val="single" w:sz="12" w:space="1" w:color="0F5B68"/>
              </w:pBdr>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Cs/>
                <w:sz w:val="24"/>
                <w:szCs w:val="24"/>
              </w:rPr>
            </w:pPr>
            <w:bookmarkStart w:id="187" w:name="_Toc431467732"/>
            <w:bookmarkStart w:id="188" w:name="_Toc431474313"/>
            <w:r w:rsidRPr="00A44E5D">
              <w:rPr>
                <w:rFonts w:ascii="Times New Roman" w:eastAsia="MS Gothic" w:hAnsi="Times New Roman"/>
                <w:bCs/>
                <w:sz w:val="24"/>
                <w:szCs w:val="24"/>
              </w:rPr>
              <w:t>126,72</w:t>
            </w:r>
            <w:bookmarkEnd w:id="187"/>
            <w:bookmarkEnd w:id="188"/>
          </w:p>
        </w:tc>
      </w:tr>
    </w:tbl>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 xml:space="preserve">Основное направление развития организационной структуры нефтяной отрасли в долгосрочной перспективе заключается в развитии сегмента малых и средних нефтяных компаний. Добыча нефти в России выросла в 2014 г. на 0,6% (+3,3 </w:t>
      </w:r>
      <w:proofErr w:type="gramStart"/>
      <w:r w:rsidRPr="00B55B7E">
        <w:rPr>
          <w:rFonts w:ascii="Times New Roman" w:hAnsi="Times New Roman" w:cs="Times New Roman"/>
          <w:sz w:val="26"/>
          <w:szCs w:val="26"/>
        </w:rPr>
        <w:t>млн</w:t>
      </w:r>
      <w:proofErr w:type="gramEnd"/>
      <w:r w:rsidRPr="00B55B7E">
        <w:rPr>
          <w:rFonts w:ascii="Times New Roman" w:hAnsi="Times New Roman" w:cs="Times New Roman"/>
          <w:sz w:val="26"/>
          <w:szCs w:val="26"/>
        </w:rPr>
        <w:t xml:space="preserve"> т) - до 526,7 млн т в год, по данным ЦДУ ТЭК. При этом 79% прироста добычи обеспечили независимые производители, их доля в добыче выросла до 10,4%. Доля ВИНК </w:t>
      </w:r>
      <w:proofErr w:type="spellStart"/>
      <w:r w:rsidRPr="00B55B7E">
        <w:rPr>
          <w:rFonts w:ascii="Times New Roman" w:hAnsi="Times New Roman" w:cs="Times New Roman"/>
          <w:sz w:val="26"/>
          <w:szCs w:val="26"/>
        </w:rPr>
        <w:t>сставила</w:t>
      </w:r>
      <w:proofErr w:type="spellEnd"/>
      <w:r w:rsidRPr="00B55B7E">
        <w:rPr>
          <w:rFonts w:ascii="Times New Roman" w:hAnsi="Times New Roman" w:cs="Times New Roman"/>
          <w:sz w:val="26"/>
          <w:szCs w:val="26"/>
        </w:rPr>
        <w:t xml:space="preserve"> 86,9%, операторов СРП – 2,7%.</w:t>
      </w:r>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 xml:space="preserve">Небольшой сектор независимых от ВИНК компаний, не обладающих большими мощностями переработки или розничной сетью, может обеспечить необходимую для развития отрасли конкуренцию. Независимые компании активно участвуют в геологоразведке, они способствуют </w:t>
      </w:r>
      <w:proofErr w:type="gramStart"/>
      <w:r w:rsidRPr="00B55B7E">
        <w:rPr>
          <w:rFonts w:ascii="Times New Roman" w:hAnsi="Times New Roman" w:cs="Times New Roman"/>
          <w:sz w:val="26"/>
          <w:szCs w:val="26"/>
        </w:rPr>
        <w:t>рациональному</w:t>
      </w:r>
      <w:proofErr w:type="gramEnd"/>
      <w:r w:rsidRPr="00B55B7E">
        <w:rPr>
          <w:rFonts w:ascii="Times New Roman" w:hAnsi="Times New Roman" w:cs="Times New Roman"/>
          <w:sz w:val="26"/>
          <w:szCs w:val="26"/>
        </w:rPr>
        <w:t xml:space="preserve"> недропользованию, </w:t>
      </w:r>
      <w:r w:rsidRPr="00B55B7E">
        <w:rPr>
          <w:rFonts w:ascii="Times New Roman" w:hAnsi="Times New Roman" w:cs="Times New Roman"/>
          <w:sz w:val="26"/>
          <w:szCs w:val="26"/>
        </w:rPr>
        <w:lastRenderedPageBreak/>
        <w:t>поскольку работают на небольших малопривлекательных для ВИНК месторождениях. Независимые компании активно занимаются геологоразведочными работами. Так, если их доля в эксплуатационном бурении составляет всего 3,8%, то в поисково-разведочном бурении на них приходится уже 17%.</w:t>
      </w:r>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 xml:space="preserve">Для создания развитого сектора независимых компаний необходимо грамотное управление портфелем своих активов в ВИНК. В частности, отчуждении «хвостовых» активов – выработанных, низкорентабельных, малоперспективных месторождений. Модели бизнеса независимых компаний в мире основаны на выборе специализации – поиск, оценка и подготовка запасов, разработка месторождений, работа с </w:t>
      </w:r>
      <w:proofErr w:type="spellStart"/>
      <w:r w:rsidRPr="00B55B7E">
        <w:rPr>
          <w:rFonts w:ascii="Times New Roman" w:hAnsi="Times New Roman" w:cs="Times New Roman"/>
          <w:sz w:val="26"/>
          <w:szCs w:val="26"/>
        </w:rPr>
        <w:t>трудноизвлекаемыми</w:t>
      </w:r>
      <w:proofErr w:type="spellEnd"/>
      <w:r w:rsidRPr="00B55B7E">
        <w:rPr>
          <w:rFonts w:ascii="Times New Roman" w:hAnsi="Times New Roman" w:cs="Times New Roman"/>
          <w:sz w:val="26"/>
          <w:szCs w:val="26"/>
        </w:rPr>
        <w:t xml:space="preserve"> запасами, на выработанных и малых (вплоть до одной скважины) активах. Таким образом, для сектора независимых нефтяных компаний существуют естественные ниши, а их развитие во многом способствует эффективному распределению ресурсов.</w:t>
      </w:r>
    </w:p>
    <w:p w:rsidR="00A44E5D" w:rsidRPr="00922DFA" w:rsidRDefault="00A44E5D" w:rsidP="000F4260">
      <w:pPr>
        <w:pStyle w:val="1"/>
        <w:rPr>
          <w:rFonts w:ascii="Times New Roman" w:hAnsi="Times New Roman" w:cs="Times New Roman"/>
          <w:i/>
          <w:color w:val="1F497D" w:themeColor="text2"/>
          <w:sz w:val="26"/>
          <w:szCs w:val="26"/>
        </w:rPr>
      </w:pPr>
      <w:bookmarkStart w:id="189" w:name="_Toc431474314"/>
      <w:r w:rsidRPr="00922DFA">
        <w:rPr>
          <w:rFonts w:ascii="Times New Roman" w:hAnsi="Times New Roman" w:cs="Times New Roman"/>
          <w:i/>
          <w:color w:val="1F497D" w:themeColor="text2"/>
          <w:sz w:val="26"/>
          <w:szCs w:val="26"/>
        </w:rPr>
        <w:t>Тенденции развития организационной структуры в газовой отрасли</w:t>
      </w:r>
      <w:bookmarkEnd w:id="189"/>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Газовая промышленность остается единственной отраслью ТЭК, где сохраняется естественно-монопольная организационная структура. Следствием этого является сохранение высокой концентрации добывающих, перерабатывающих, а также сбытовых активов в руках одной компании – ПАО «Газпром», которая, помимо этого обладает монополией на транспорт, подземное хранение и экспорт газа. Сохраняются также пять региональных монополий в изолированных от ЕСГ районах страны (Норильск, Якутия, Камчатка, Сахалин, Печора). Государство по-прежнему осуществляет регулирование цен для большинства потребителей. Хозяйствующие субъекты отрасли, за исключением ПАО «Газпром», не имеют доступа к экспорту газа, за исключением отдельных проектов по производству СПГ.</w:t>
      </w:r>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 xml:space="preserve">Помимо ПАО «Газпром» и региональных монополистов, организационную структуру отрасли составляют ВИНК, независимые производители газа, а также совместные предприятия, работающие на условиях СРП. </w:t>
      </w:r>
    </w:p>
    <w:p w:rsidR="00A44E5D" w:rsidRPr="007C67F6" w:rsidRDefault="00A44E5D" w:rsidP="00B55B7E">
      <w:pPr>
        <w:spacing w:after="120" w:line="240" w:lineRule="auto"/>
        <w:ind w:firstLine="709"/>
        <w:jc w:val="both"/>
        <w:rPr>
          <w:rFonts w:ascii="Times New Roman" w:hAnsi="Times New Roman" w:cs="Times New Roman"/>
          <w:sz w:val="26"/>
          <w:szCs w:val="26"/>
        </w:rPr>
      </w:pPr>
      <w:proofErr w:type="gramStart"/>
      <w:r w:rsidRPr="00B55B7E">
        <w:rPr>
          <w:rFonts w:ascii="Times New Roman" w:hAnsi="Times New Roman" w:cs="Times New Roman"/>
          <w:sz w:val="26"/>
          <w:szCs w:val="26"/>
        </w:rPr>
        <w:t>В условиях снижения внутреннего и внешнего спроса на российский газ, а также вызванного этим резкого роста свободных добывающих мощностей, основной тенденцией развития организационной структуры газовой отрасли последних лет, начиная с 2012 года, является поступательное снижение доли ПАО «Газпром» в суммарной добыче (до 66,1% в 2014 году) и поставках газа на внутренний рынок.</w:t>
      </w:r>
      <w:proofErr w:type="gramEnd"/>
      <w:r w:rsidRPr="00B55B7E">
        <w:rPr>
          <w:rFonts w:ascii="Times New Roman" w:hAnsi="Times New Roman" w:cs="Times New Roman"/>
          <w:sz w:val="26"/>
          <w:szCs w:val="26"/>
        </w:rPr>
        <w:t xml:space="preserve"> Это снижение происходит, главным образом, за счет увеличения доли ОАО «НОВАТЭК»  (до 8,2% в добыче) и ОАО «НК «Роснефть» (до 6,7%). </w:t>
      </w:r>
      <w:r w:rsidRPr="007C67F6">
        <w:rPr>
          <w:rFonts w:ascii="Times New Roman" w:hAnsi="Times New Roman" w:cs="Times New Roman"/>
          <w:sz w:val="26"/>
          <w:szCs w:val="26"/>
        </w:rPr>
        <w:t>На 4-м месте находится                 ПАО «ЛУКОЙЛ» с долей 3%.</w:t>
      </w:r>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 xml:space="preserve">За 2007-2014 гг. добыча газа ВИНК и независимых производителей газа (без учета операторов СРП) выросла в два раза, достигнув 194 </w:t>
      </w:r>
      <w:proofErr w:type="gramStart"/>
      <w:r w:rsidRPr="00B55B7E">
        <w:rPr>
          <w:rFonts w:ascii="Times New Roman" w:hAnsi="Times New Roman" w:cs="Times New Roman"/>
          <w:sz w:val="26"/>
          <w:szCs w:val="26"/>
        </w:rPr>
        <w:t>млрд</w:t>
      </w:r>
      <w:proofErr w:type="gramEnd"/>
      <w:r w:rsidRPr="00B55B7E">
        <w:rPr>
          <w:rFonts w:ascii="Times New Roman" w:hAnsi="Times New Roman" w:cs="Times New Roman"/>
          <w:sz w:val="26"/>
          <w:szCs w:val="26"/>
        </w:rPr>
        <w:t xml:space="preserve"> м3 в год. Наиболее значительное увеличение добычи, как уже отмечалось, показали ОАО «НОВАТЭК» и ОАО «НК «Роснефть». К 2020 г. ВИНК и независимые производители газа способны направить на внутренний рынок дополнительно до 90 </w:t>
      </w:r>
      <w:proofErr w:type="gramStart"/>
      <w:r w:rsidRPr="00B55B7E">
        <w:rPr>
          <w:rFonts w:ascii="Times New Roman" w:hAnsi="Times New Roman" w:cs="Times New Roman"/>
          <w:sz w:val="26"/>
          <w:szCs w:val="26"/>
        </w:rPr>
        <w:t>млрд</w:t>
      </w:r>
      <w:proofErr w:type="gramEnd"/>
      <w:r w:rsidRPr="00B55B7E">
        <w:rPr>
          <w:rFonts w:ascii="Times New Roman" w:hAnsi="Times New Roman" w:cs="Times New Roman"/>
          <w:sz w:val="26"/>
          <w:szCs w:val="26"/>
        </w:rPr>
        <w:t xml:space="preserve"> м3 в год, что может привести к снижению доли ПАО «Газпром» до 60% и ниже. При этом в ближайшие годы внутренний рынок газа в России будет </w:t>
      </w:r>
      <w:proofErr w:type="gramStart"/>
      <w:r w:rsidRPr="00B55B7E">
        <w:rPr>
          <w:rFonts w:ascii="Times New Roman" w:hAnsi="Times New Roman" w:cs="Times New Roman"/>
          <w:sz w:val="26"/>
          <w:szCs w:val="26"/>
        </w:rPr>
        <w:t>находится</w:t>
      </w:r>
      <w:proofErr w:type="gramEnd"/>
      <w:r w:rsidRPr="00B55B7E">
        <w:rPr>
          <w:rFonts w:ascii="Times New Roman" w:hAnsi="Times New Roman" w:cs="Times New Roman"/>
          <w:sz w:val="26"/>
          <w:szCs w:val="26"/>
        </w:rPr>
        <w:t xml:space="preserve"> под избыточным давлением со стороны предложения, свободные мощности будут превышать спрос                                        на 150-200 млрд м3 в год, что, в случае либерализации ценообразования, будет </w:t>
      </w:r>
      <w:r w:rsidRPr="00B55B7E">
        <w:rPr>
          <w:rFonts w:ascii="Times New Roman" w:hAnsi="Times New Roman" w:cs="Times New Roman"/>
          <w:sz w:val="26"/>
          <w:szCs w:val="26"/>
        </w:rPr>
        <w:lastRenderedPageBreak/>
        <w:t>препятствовать росту цен в оптовом сегменте, но потенциально создает возможности для перехода к рыночному ценообразованию.</w:t>
      </w:r>
    </w:p>
    <w:p w:rsidR="00A44E5D" w:rsidRPr="00B55B7E" w:rsidRDefault="00A44E5D" w:rsidP="00B55B7E">
      <w:pPr>
        <w:spacing w:after="120" w:line="240" w:lineRule="auto"/>
        <w:ind w:firstLine="709"/>
        <w:jc w:val="both"/>
        <w:rPr>
          <w:rFonts w:ascii="Times New Roman" w:hAnsi="Times New Roman" w:cs="Times New Roman"/>
          <w:sz w:val="26"/>
          <w:szCs w:val="26"/>
        </w:rPr>
      </w:pPr>
      <w:proofErr w:type="gramStart"/>
      <w:r w:rsidRPr="00B55B7E">
        <w:rPr>
          <w:rFonts w:ascii="Times New Roman" w:hAnsi="Times New Roman" w:cs="Times New Roman"/>
          <w:sz w:val="26"/>
          <w:szCs w:val="26"/>
        </w:rPr>
        <w:t>При сохранении текущих тенденций уже к 2020 г. доля ПАО «Газпром» на внутреннем рынке может упасть до 55-58%. При этом доля населения и организаций коммунального комплекса в структуре продаж ПАО «Газпром» может превысить 40% (против 36% сегодня), при продолжающемся сокращении доли промышленности, что будет негативно влиять на общую финансовую продаж компании на внутреннем рынке.</w:t>
      </w:r>
      <w:proofErr w:type="gramEnd"/>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 xml:space="preserve">Доля поставок ПАО «Газпром» продолжает снижаться в большинстве регионов </w:t>
      </w:r>
      <w:proofErr w:type="gramStart"/>
      <w:r w:rsidRPr="00B55B7E">
        <w:rPr>
          <w:rFonts w:ascii="Times New Roman" w:hAnsi="Times New Roman" w:cs="Times New Roman"/>
          <w:sz w:val="26"/>
          <w:szCs w:val="26"/>
        </w:rPr>
        <w:t>Урало-Поволжья</w:t>
      </w:r>
      <w:proofErr w:type="gramEnd"/>
      <w:r w:rsidRPr="00B55B7E">
        <w:rPr>
          <w:rFonts w:ascii="Times New Roman" w:hAnsi="Times New Roman" w:cs="Times New Roman"/>
          <w:sz w:val="26"/>
          <w:szCs w:val="26"/>
        </w:rPr>
        <w:t>, Северо-Запада и Центральной части России, где расположены крупные промышленные предприятия. Доля компании остается стабильной или даже увеличивается в основном в удаленных регионах (Западная Сибирь, Северный Кавказ), с высокой долей организаций коммунального хозяйства и населения в структуре потребления, или активно реализующих программы газификации.</w:t>
      </w:r>
    </w:p>
    <w:p w:rsidR="00A44E5D" w:rsidRPr="00B55B7E" w:rsidRDefault="00A44E5D" w:rsidP="00B55B7E">
      <w:pPr>
        <w:spacing w:after="120" w:line="240" w:lineRule="auto"/>
        <w:ind w:firstLine="709"/>
        <w:jc w:val="both"/>
        <w:rPr>
          <w:rFonts w:ascii="Times New Roman" w:hAnsi="Times New Roman" w:cs="Times New Roman"/>
          <w:sz w:val="26"/>
          <w:szCs w:val="26"/>
        </w:rPr>
      </w:pPr>
      <w:proofErr w:type="gramStart"/>
      <w:r w:rsidRPr="00B55B7E">
        <w:rPr>
          <w:rFonts w:ascii="Times New Roman" w:hAnsi="Times New Roman" w:cs="Times New Roman"/>
          <w:sz w:val="26"/>
          <w:szCs w:val="26"/>
        </w:rPr>
        <w:t>Для ВИНК и независимых производителей газа поставки газа с месторождений Западной Сибири в большинство регионов уже сейчас являются высокорентабельными (600-1000 руб. за тыс. м3), что позволяет им предоставлять скидки крупным потребителям в размере 5-10% к тарифу ФАС (300-350 руб./тыс. м3 на Урале и в Поволжье, 400 руб./тыс. м3 в Центральной России).</w:t>
      </w:r>
      <w:proofErr w:type="gramEnd"/>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 xml:space="preserve">В ближайшие годы при низких темпах роста как оптовых цен на газ (5-7%), так и тарифов на транспортировку, ВИНК и независимые производители газа продолжат вытеснять ПАО «Газпром» из регионов Центральной России, сохраняя скидки для крупных потребителей. К 2020 г. потенциально привлекательными для ВИНК и независимых производителей газа могут стать регионы юга России, в </w:t>
      </w:r>
      <w:proofErr w:type="spellStart"/>
      <w:r w:rsidRPr="00B55B7E">
        <w:rPr>
          <w:rFonts w:ascii="Times New Roman" w:hAnsi="Times New Roman" w:cs="Times New Roman"/>
          <w:sz w:val="26"/>
          <w:szCs w:val="26"/>
        </w:rPr>
        <w:t>т.ч</w:t>
      </w:r>
      <w:proofErr w:type="spellEnd"/>
      <w:r w:rsidRPr="00B55B7E">
        <w:rPr>
          <w:rFonts w:ascii="Times New Roman" w:hAnsi="Times New Roman" w:cs="Times New Roman"/>
          <w:sz w:val="26"/>
          <w:szCs w:val="26"/>
        </w:rPr>
        <w:t>. благодаря росту местной добычи.</w:t>
      </w:r>
    </w:p>
    <w:p w:rsidR="00A44E5D" w:rsidRDefault="00A44E5D" w:rsidP="00B55B7E">
      <w:pPr>
        <w:spacing w:after="120" w:line="240" w:lineRule="auto"/>
        <w:ind w:firstLine="709"/>
        <w:jc w:val="both"/>
        <w:rPr>
          <w:rFonts w:ascii="Times New Roman" w:hAnsi="Times New Roman" w:cs="Times New Roman"/>
          <w:sz w:val="26"/>
          <w:szCs w:val="26"/>
        </w:rPr>
      </w:pPr>
      <w:proofErr w:type="gramStart"/>
      <w:r w:rsidRPr="00B55B7E">
        <w:rPr>
          <w:rFonts w:ascii="Times New Roman" w:hAnsi="Times New Roman" w:cs="Times New Roman"/>
          <w:sz w:val="26"/>
          <w:szCs w:val="26"/>
        </w:rPr>
        <w:t>При этом парадоксально, что рост доли ВИНК и независимых производителей газа на внутреннем рынке газа в России в значительной степени основан на искусственном поддержании нерыночных механизмов конкуренции со стороны                    ПАО «Газпром», поскольку, ВИНК и независимые производители газа, с одной стороны, не могут поставлять газ на экспорт, что автоматически направляет все их самостоятельные поставки (т.е. те объемы газа, которые не</w:t>
      </w:r>
      <w:proofErr w:type="gramEnd"/>
      <w:r w:rsidRPr="00B55B7E">
        <w:rPr>
          <w:rFonts w:ascii="Times New Roman" w:hAnsi="Times New Roman" w:cs="Times New Roman"/>
          <w:sz w:val="26"/>
          <w:szCs w:val="26"/>
        </w:rPr>
        <w:t xml:space="preserve"> выкупает ПАО «Газпром» на входе в ГТС) на внутренний рынок, с другой стороны, совмещение в                             ПАО «Газпром» конкурентных и естественно-монопольных видов деятельности обуславливает применение государственного регулирования для отпускных оптовых цен компании, что позволяет другим поставщикам, снижая цены по отношению к регулируемым, выдавливать ПАО «Газпром» с наиболее ликвидных региональных рынков.</w:t>
      </w:r>
    </w:p>
    <w:p w:rsidR="00B55B7E" w:rsidRDefault="00B55B7E" w:rsidP="00B55B7E">
      <w:pPr>
        <w:spacing w:after="120" w:line="240" w:lineRule="auto"/>
        <w:ind w:firstLine="709"/>
        <w:jc w:val="both"/>
        <w:rPr>
          <w:rFonts w:ascii="Times New Roman" w:hAnsi="Times New Roman" w:cs="Times New Roman"/>
          <w:sz w:val="26"/>
          <w:szCs w:val="26"/>
        </w:rPr>
      </w:pPr>
    </w:p>
    <w:p w:rsidR="007C67F6" w:rsidRDefault="007C67F6" w:rsidP="00B55B7E">
      <w:pPr>
        <w:spacing w:after="120" w:line="240" w:lineRule="auto"/>
        <w:ind w:firstLine="709"/>
        <w:jc w:val="both"/>
        <w:rPr>
          <w:rFonts w:ascii="Times New Roman" w:hAnsi="Times New Roman" w:cs="Times New Roman"/>
          <w:sz w:val="26"/>
          <w:szCs w:val="26"/>
        </w:rPr>
      </w:pPr>
    </w:p>
    <w:p w:rsidR="007C67F6" w:rsidRPr="007C67F6" w:rsidRDefault="007C67F6" w:rsidP="00B55B7E">
      <w:pPr>
        <w:spacing w:after="120" w:line="240" w:lineRule="auto"/>
        <w:ind w:firstLine="709"/>
        <w:jc w:val="both"/>
        <w:rPr>
          <w:rFonts w:ascii="Times New Roman" w:hAnsi="Times New Roman" w:cs="Times New Roman"/>
          <w:sz w:val="26"/>
          <w:szCs w:val="26"/>
        </w:rPr>
      </w:pPr>
    </w:p>
    <w:p w:rsidR="00B55B7E" w:rsidRPr="005605F8" w:rsidRDefault="00A44E5D" w:rsidP="005605F8">
      <w:pPr>
        <w:pStyle w:val="1"/>
        <w:jc w:val="both"/>
        <w:rPr>
          <w:rFonts w:ascii="Times New Roman" w:hAnsi="Times New Roman" w:cs="Times New Roman"/>
          <w:color w:val="1F497D" w:themeColor="text2"/>
        </w:rPr>
      </w:pPr>
      <w:bookmarkStart w:id="190" w:name="_Toc431474315"/>
      <w:r w:rsidRPr="00B55B7E">
        <w:rPr>
          <w:rFonts w:ascii="Times New Roman" w:hAnsi="Times New Roman" w:cs="Times New Roman"/>
          <w:color w:val="1F497D" w:themeColor="text2"/>
        </w:rPr>
        <w:lastRenderedPageBreak/>
        <w:t xml:space="preserve">Оценка </w:t>
      </w:r>
      <w:proofErr w:type="gramStart"/>
      <w:r w:rsidRPr="00B55B7E">
        <w:rPr>
          <w:rFonts w:ascii="Times New Roman" w:hAnsi="Times New Roman" w:cs="Times New Roman"/>
          <w:color w:val="1F497D" w:themeColor="text2"/>
        </w:rPr>
        <w:t>мер государственного стимулирования повышения коэффициента извлечения</w:t>
      </w:r>
      <w:proofErr w:type="gramEnd"/>
      <w:r w:rsidRPr="00B55B7E">
        <w:rPr>
          <w:rFonts w:ascii="Times New Roman" w:hAnsi="Times New Roman" w:cs="Times New Roman"/>
          <w:color w:val="1F497D" w:themeColor="text2"/>
        </w:rPr>
        <w:t xml:space="preserve"> нефти: соотношение технологически возмож</w:t>
      </w:r>
      <w:r w:rsidR="00B55B7E" w:rsidRPr="00B55B7E">
        <w:rPr>
          <w:rFonts w:ascii="Times New Roman" w:hAnsi="Times New Roman" w:cs="Times New Roman"/>
          <w:color w:val="1F497D" w:themeColor="text2"/>
        </w:rPr>
        <w:t>ного и реально достигаемого КИН</w:t>
      </w:r>
      <w:bookmarkEnd w:id="190"/>
    </w:p>
    <w:p w:rsidR="005605F8" w:rsidRPr="005605F8" w:rsidRDefault="005605F8" w:rsidP="005605F8"/>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 xml:space="preserve">Эпоха преобладания крупных традиционных месторождений, освоение и разработка которых позволяли реализовывать эффект «экономии от масштаба», подходит к концу. Ресурсная база нефтяной отрасли России в дальнейшем будет характеризоваться преобладанием мелких, средних, </w:t>
      </w:r>
      <w:proofErr w:type="spellStart"/>
      <w:r w:rsidRPr="00B55B7E">
        <w:rPr>
          <w:rFonts w:ascii="Times New Roman" w:hAnsi="Times New Roman" w:cs="Times New Roman"/>
          <w:sz w:val="26"/>
          <w:szCs w:val="26"/>
        </w:rPr>
        <w:t>трудноизвлекаемых</w:t>
      </w:r>
      <w:proofErr w:type="spellEnd"/>
      <w:r w:rsidRPr="00B55B7E">
        <w:rPr>
          <w:rFonts w:ascii="Times New Roman" w:hAnsi="Times New Roman" w:cs="Times New Roman"/>
          <w:sz w:val="26"/>
          <w:szCs w:val="26"/>
        </w:rPr>
        <w:t xml:space="preserve"> или традиционных сильно выработанных месторождений. Выявление экономически эффективных и технологически доступных для освоения ресурсов недр будет связано:</w:t>
      </w:r>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 xml:space="preserve">а) с освоением залежей тяжелых и сверхтяжелых залежей </w:t>
      </w:r>
      <w:proofErr w:type="spellStart"/>
      <w:r w:rsidRPr="00B55B7E">
        <w:rPr>
          <w:rFonts w:ascii="Times New Roman" w:hAnsi="Times New Roman" w:cs="Times New Roman"/>
          <w:sz w:val="26"/>
          <w:szCs w:val="26"/>
        </w:rPr>
        <w:t>нефтей</w:t>
      </w:r>
      <w:proofErr w:type="spellEnd"/>
      <w:r w:rsidRPr="00B55B7E">
        <w:rPr>
          <w:rFonts w:ascii="Times New Roman" w:hAnsi="Times New Roman" w:cs="Times New Roman"/>
          <w:sz w:val="26"/>
          <w:szCs w:val="26"/>
        </w:rPr>
        <w:t xml:space="preserve"> и битумов;</w:t>
      </w:r>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 xml:space="preserve">б) с переходом к более глубоким горизонтам в районах традиционной добычи - </w:t>
      </w:r>
      <w:proofErr w:type="gramStart"/>
      <w:r w:rsidRPr="00B55B7E">
        <w:rPr>
          <w:rFonts w:ascii="Times New Roman" w:hAnsi="Times New Roman" w:cs="Times New Roman"/>
          <w:sz w:val="26"/>
          <w:szCs w:val="26"/>
        </w:rPr>
        <w:t>Урало-Поволжье</w:t>
      </w:r>
      <w:proofErr w:type="gramEnd"/>
      <w:r w:rsidRPr="00B55B7E">
        <w:rPr>
          <w:rFonts w:ascii="Times New Roman" w:hAnsi="Times New Roman" w:cs="Times New Roman"/>
          <w:sz w:val="26"/>
          <w:szCs w:val="26"/>
        </w:rPr>
        <w:t>, Западной Сибири и Восточной Сибири;</w:t>
      </w:r>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 xml:space="preserve">в) с </w:t>
      </w:r>
      <w:proofErr w:type="spellStart"/>
      <w:r w:rsidRPr="00B55B7E">
        <w:rPr>
          <w:rFonts w:ascii="Times New Roman" w:hAnsi="Times New Roman" w:cs="Times New Roman"/>
          <w:sz w:val="26"/>
          <w:szCs w:val="26"/>
        </w:rPr>
        <w:t>доразработкой</w:t>
      </w:r>
      <w:proofErr w:type="spellEnd"/>
      <w:r w:rsidRPr="00B55B7E">
        <w:rPr>
          <w:rFonts w:ascii="Times New Roman" w:hAnsi="Times New Roman" w:cs="Times New Roman"/>
          <w:sz w:val="26"/>
          <w:szCs w:val="26"/>
        </w:rPr>
        <w:t xml:space="preserve"> - за счет повышения </w:t>
      </w:r>
      <w:proofErr w:type="spellStart"/>
      <w:r w:rsidRPr="00B55B7E">
        <w:rPr>
          <w:rFonts w:ascii="Times New Roman" w:hAnsi="Times New Roman" w:cs="Times New Roman"/>
          <w:sz w:val="26"/>
          <w:szCs w:val="26"/>
        </w:rPr>
        <w:t>КИНа</w:t>
      </w:r>
      <w:proofErr w:type="spellEnd"/>
      <w:r w:rsidRPr="00B55B7E">
        <w:rPr>
          <w:rFonts w:ascii="Times New Roman" w:hAnsi="Times New Roman" w:cs="Times New Roman"/>
          <w:sz w:val="26"/>
          <w:szCs w:val="26"/>
        </w:rPr>
        <w:t xml:space="preserve"> ранее введенных в разработку месторождений (КИН на рубеже 2050 года должен приблизиться </w:t>
      </w:r>
      <w:proofErr w:type="gramStart"/>
      <w:r w:rsidRPr="00B55B7E">
        <w:rPr>
          <w:rFonts w:ascii="Times New Roman" w:hAnsi="Times New Roman" w:cs="Times New Roman"/>
          <w:sz w:val="26"/>
          <w:szCs w:val="26"/>
        </w:rPr>
        <w:t>в</w:t>
      </w:r>
      <w:proofErr w:type="gramEnd"/>
      <w:r w:rsidRPr="00B55B7E">
        <w:rPr>
          <w:rFonts w:ascii="Times New Roman" w:hAnsi="Times New Roman" w:cs="Times New Roman"/>
          <w:sz w:val="26"/>
          <w:szCs w:val="26"/>
        </w:rPr>
        <w:t xml:space="preserve"> </w:t>
      </w:r>
      <w:proofErr w:type="gramStart"/>
      <w:r w:rsidRPr="00B55B7E">
        <w:rPr>
          <w:rFonts w:ascii="Times New Roman" w:hAnsi="Times New Roman" w:cs="Times New Roman"/>
          <w:sz w:val="26"/>
          <w:szCs w:val="26"/>
        </w:rPr>
        <w:t>значениям</w:t>
      </w:r>
      <w:proofErr w:type="gramEnd"/>
      <w:r w:rsidRPr="00B55B7E">
        <w:rPr>
          <w:rFonts w:ascii="Times New Roman" w:hAnsi="Times New Roman" w:cs="Times New Roman"/>
          <w:sz w:val="26"/>
          <w:szCs w:val="26"/>
        </w:rPr>
        <w:t>, достигнутым в настоящее время на шельфе Северного моря, в США и Канаде, т.е. превысить 40%);</w:t>
      </w:r>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г) с освоением новых залежей на шельфах и в акватории Северных и Дальневосточных морей.</w:t>
      </w:r>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 xml:space="preserve">Данные направления не являются взаимоисключающими. Ни одно </w:t>
      </w:r>
      <w:proofErr w:type="gramStart"/>
      <w:r w:rsidRPr="00B55B7E">
        <w:rPr>
          <w:rFonts w:ascii="Times New Roman" w:hAnsi="Times New Roman" w:cs="Times New Roman"/>
          <w:sz w:val="26"/>
          <w:szCs w:val="26"/>
        </w:rPr>
        <w:t>их</w:t>
      </w:r>
      <w:proofErr w:type="gramEnd"/>
      <w:r w:rsidRPr="00B55B7E">
        <w:rPr>
          <w:rFonts w:ascii="Times New Roman" w:hAnsi="Times New Roman" w:cs="Times New Roman"/>
          <w:sz w:val="26"/>
          <w:szCs w:val="26"/>
        </w:rPr>
        <w:t xml:space="preserve"> них не имеет для государства безусловного приоритета. При этом динамика добычи нефти в значительной степени будет определяться тем, насколько удастся России решить задачу по формированию конкурентоспособного, технологически продвинутого и эффективного сервисного сектора. </w:t>
      </w:r>
      <w:proofErr w:type="gramStart"/>
      <w:r w:rsidRPr="00B55B7E">
        <w:rPr>
          <w:rFonts w:ascii="Times New Roman" w:hAnsi="Times New Roman" w:cs="Times New Roman"/>
          <w:sz w:val="26"/>
          <w:szCs w:val="26"/>
        </w:rPr>
        <w:t>Для этого необходимо не только максимально открытое продвижение - мерами финансовой, налоговой и прочих форм поддержки - сервисных компаний (сначала аффилированных в России иностранных компаний, а затем и во все большей степени и отечественных компаний), но также и формирование прозрачной, равнодоступной конкурентной среды при предоставлении и выполнении всех видов сервисных услуг в нефтяном комплексе.</w:t>
      </w:r>
      <w:proofErr w:type="gramEnd"/>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К сожалению, в результате незавершенности формирования целостной институциональной системы недропользования и налогообложения и слабого развития рынка независимых сервисных и инжиниринговых услуг к настоящему моменту в нефтяной отрасли России не удалось добиться реального увеличения КИН и значительного продвижения к полному и комплексному извлечению углеводородного сырья, несмотря на прогресс по отдельным направлениям.</w:t>
      </w:r>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 xml:space="preserve">Повышение КИН, как правило, является косвенной задачей мер государственного стимулирования, направленных либо на стимулирование разработки истощенных месторождений, либо проведения НИОКР и промышленного внедрения новых технологий повышения </w:t>
      </w:r>
      <w:proofErr w:type="spellStart"/>
      <w:r w:rsidRPr="00B55B7E">
        <w:rPr>
          <w:rFonts w:ascii="Times New Roman" w:hAnsi="Times New Roman" w:cs="Times New Roman"/>
          <w:sz w:val="26"/>
          <w:szCs w:val="26"/>
        </w:rPr>
        <w:t>нефтеотдачи</w:t>
      </w:r>
      <w:proofErr w:type="spellEnd"/>
      <w:r w:rsidRPr="00B55B7E">
        <w:rPr>
          <w:rFonts w:ascii="Times New Roman" w:hAnsi="Times New Roman" w:cs="Times New Roman"/>
          <w:sz w:val="26"/>
          <w:szCs w:val="26"/>
        </w:rPr>
        <w:t>.</w:t>
      </w:r>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 xml:space="preserve">Основным механизмом государственного стимулирования повышения КИН, как в российской, так и в международной практике, является предоставление </w:t>
      </w:r>
      <w:r w:rsidRPr="00B55B7E">
        <w:rPr>
          <w:rFonts w:ascii="Times New Roman" w:hAnsi="Times New Roman" w:cs="Times New Roman"/>
          <w:sz w:val="26"/>
          <w:szCs w:val="26"/>
        </w:rPr>
        <w:lastRenderedPageBreak/>
        <w:t>налоговых льгот, в том числе путем создания дифференцированной шкалы налогов на добычу нефти, либо использования рентного налогообложения.</w:t>
      </w:r>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 xml:space="preserve">В целом повышение КИН является комплексной задачей и не может быть обеспечено только мерами налогового стимулирования. Основным препятствием для повышения КИН российскими </w:t>
      </w:r>
      <w:proofErr w:type="spellStart"/>
      <w:r w:rsidRPr="00B55B7E">
        <w:rPr>
          <w:rFonts w:ascii="Times New Roman" w:hAnsi="Times New Roman" w:cs="Times New Roman"/>
          <w:sz w:val="26"/>
          <w:szCs w:val="26"/>
        </w:rPr>
        <w:t>недропользователями</w:t>
      </w:r>
      <w:proofErr w:type="spellEnd"/>
      <w:r w:rsidRPr="00B55B7E">
        <w:rPr>
          <w:rFonts w:ascii="Times New Roman" w:hAnsi="Times New Roman" w:cs="Times New Roman"/>
          <w:sz w:val="26"/>
          <w:szCs w:val="26"/>
        </w:rPr>
        <w:t xml:space="preserve"> вплоть до сегодняшнего дня остается экстенсивный характер развития нефтяной отрасли, позволяющий </w:t>
      </w:r>
      <w:proofErr w:type="spellStart"/>
      <w:r w:rsidRPr="00B55B7E">
        <w:rPr>
          <w:rFonts w:ascii="Times New Roman" w:hAnsi="Times New Roman" w:cs="Times New Roman"/>
          <w:sz w:val="26"/>
          <w:szCs w:val="26"/>
        </w:rPr>
        <w:t>недропользователям</w:t>
      </w:r>
      <w:proofErr w:type="spellEnd"/>
      <w:r w:rsidRPr="00B55B7E">
        <w:rPr>
          <w:rFonts w:ascii="Times New Roman" w:hAnsi="Times New Roman" w:cs="Times New Roman"/>
          <w:sz w:val="26"/>
          <w:szCs w:val="26"/>
        </w:rPr>
        <w:t xml:space="preserve"> наращивать добычу за счет разработки новых, преимущественно крупных месторождений нефти. Задача государства в этом случае – создать такие налоговые условия, которые бы стимулировали </w:t>
      </w:r>
      <w:proofErr w:type="spellStart"/>
      <w:r w:rsidRPr="00B55B7E">
        <w:rPr>
          <w:rFonts w:ascii="Times New Roman" w:hAnsi="Times New Roman" w:cs="Times New Roman"/>
          <w:sz w:val="26"/>
          <w:szCs w:val="26"/>
        </w:rPr>
        <w:t>недропользователей</w:t>
      </w:r>
      <w:proofErr w:type="spellEnd"/>
      <w:r w:rsidRPr="00B55B7E">
        <w:rPr>
          <w:rFonts w:ascii="Times New Roman" w:hAnsi="Times New Roman" w:cs="Times New Roman"/>
          <w:sz w:val="26"/>
          <w:szCs w:val="26"/>
        </w:rPr>
        <w:t xml:space="preserve"> интенсифицировать разработку действующих месторождений. Приоритетным направлением такого стимулирования является переход к налогообложению финансового результата (НФР или НДД), а не льготирование НДПИ.</w:t>
      </w:r>
    </w:p>
    <w:p w:rsidR="00A44E5D"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Повышение уровня КИН требует также качественной трансформаци</w:t>
      </w:r>
      <w:r w:rsidR="007828CD">
        <w:rPr>
          <w:rFonts w:ascii="Times New Roman" w:hAnsi="Times New Roman" w:cs="Times New Roman"/>
          <w:sz w:val="26"/>
          <w:szCs w:val="26"/>
        </w:rPr>
        <w:t>и</w:t>
      </w:r>
      <w:r w:rsidRPr="00B55B7E">
        <w:rPr>
          <w:rFonts w:ascii="Times New Roman" w:hAnsi="Times New Roman" w:cs="Times New Roman"/>
          <w:sz w:val="26"/>
          <w:szCs w:val="26"/>
        </w:rPr>
        <w:t xml:space="preserve"> всей системы недропользования. Месторождение должно стать ключевым объектом регулирования со стороны всех уровней государственной власти – как в вопросах технического регулирования, так и налогообложения и стимулирования применения инновационных решений и разработок. Переход нефтяных компаний к расширенному использованию современных методов увеличения </w:t>
      </w:r>
      <w:proofErr w:type="spellStart"/>
      <w:r w:rsidRPr="00B55B7E">
        <w:rPr>
          <w:rFonts w:ascii="Times New Roman" w:hAnsi="Times New Roman" w:cs="Times New Roman"/>
          <w:sz w:val="26"/>
          <w:szCs w:val="26"/>
        </w:rPr>
        <w:t>нефтеотдачи</w:t>
      </w:r>
      <w:proofErr w:type="spellEnd"/>
      <w:r w:rsidRPr="00B55B7E">
        <w:rPr>
          <w:rFonts w:ascii="Times New Roman" w:hAnsi="Times New Roman" w:cs="Times New Roman"/>
          <w:sz w:val="26"/>
          <w:szCs w:val="26"/>
        </w:rPr>
        <w:t xml:space="preserve"> пластов и более гибким формам работы с сервисными компаниями позволяет обеспечить рост КИН даже при низком качестве ресурсной базы.</w:t>
      </w:r>
    </w:p>
    <w:p w:rsidR="00B55B7E" w:rsidRDefault="00B55B7E" w:rsidP="00B55B7E">
      <w:pPr>
        <w:spacing w:after="120" w:line="240" w:lineRule="auto"/>
        <w:ind w:firstLine="709"/>
        <w:jc w:val="both"/>
        <w:rPr>
          <w:rFonts w:ascii="Times New Roman" w:hAnsi="Times New Roman" w:cs="Times New Roman"/>
          <w:sz w:val="26"/>
          <w:szCs w:val="26"/>
        </w:rPr>
      </w:pPr>
    </w:p>
    <w:p w:rsidR="00B55B7E" w:rsidRDefault="00B55B7E" w:rsidP="00B55B7E">
      <w:pPr>
        <w:spacing w:after="120" w:line="240" w:lineRule="auto"/>
        <w:ind w:firstLine="709"/>
        <w:jc w:val="both"/>
        <w:rPr>
          <w:rFonts w:ascii="Times New Roman" w:hAnsi="Times New Roman" w:cs="Times New Roman"/>
          <w:sz w:val="26"/>
          <w:szCs w:val="26"/>
        </w:rPr>
      </w:pPr>
    </w:p>
    <w:p w:rsidR="00B55B7E" w:rsidRDefault="00B55B7E" w:rsidP="00B55B7E">
      <w:pPr>
        <w:spacing w:after="120" w:line="240" w:lineRule="auto"/>
        <w:ind w:firstLine="709"/>
        <w:jc w:val="both"/>
        <w:rPr>
          <w:rFonts w:ascii="Times New Roman" w:hAnsi="Times New Roman" w:cs="Times New Roman"/>
          <w:sz w:val="26"/>
          <w:szCs w:val="26"/>
        </w:rPr>
      </w:pPr>
    </w:p>
    <w:p w:rsidR="00B55B7E" w:rsidRDefault="00B55B7E" w:rsidP="00B55B7E">
      <w:pPr>
        <w:spacing w:after="120" w:line="240" w:lineRule="auto"/>
        <w:ind w:firstLine="709"/>
        <w:jc w:val="both"/>
        <w:rPr>
          <w:rFonts w:ascii="Times New Roman" w:hAnsi="Times New Roman" w:cs="Times New Roman"/>
          <w:sz w:val="26"/>
          <w:szCs w:val="26"/>
        </w:rPr>
      </w:pPr>
    </w:p>
    <w:p w:rsidR="00B55B7E" w:rsidRDefault="00B55B7E" w:rsidP="00B55B7E">
      <w:pPr>
        <w:spacing w:after="120" w:line="240" w:lineRule="auto"/>
        <w:ind w:firstLine="709"/>
        <w:jc w:val="both"/>
        <w:rPr>
          <w:rFonts w:ascii="Times New Roman" w:hAnsi="Times New Roman" w:cs="Times New Roman"/>
          <w:sz w:val="26"/>
          <w:szCs w:val="26"/>
        </w:rPr>
      </w:pPr>
    </w:p>
    <w:p w:rsidR="00B55B7E" w:rsidRDefault="00B55B7E" w:rsidP="00B55B7E">
      <w:pPr>
        <w:spacing w:after="120" w:line="240" w:lineRule="auto"/>
        <w:ind w:firstLine="709"/>
        <w:jc w:val="both"/>
        <w:rPr>
          <w:rFonts w:ascii="Times New Roman" w:hAnsi="Times New Roman" w:cs="Times New Roman"/>
          <w:sz w:val="26"/>
          <w:szCs w:val="26"/>
        </w:rPr>
      </w:pPr>
    </w:p>
    <w:p w:rsidR="00B55B7E" w:rsidRDefault="00B55B7E" w:rsidP="00B55B7E">
      <w:pPr>
        <w:spacing w:after="120" w:line="240" w:lineRule="auto"/>
        <w:ind w:firstLine="709"/>
        <w:jc w:val="both"/>
        <w:rPr>
          <w:rFonts w:ascii="Times New Roman" w:hAnsi="Times New Roman" w:cs="Times New Roman"/>
          <w:sz w:val="26"/>
          <w:szCs w:val="26"/>
        </w:rPr>
      </w:pPr>
    </w:p>
    <w:p w:rsidR="00B55B7E" w:rsidRDefault="00B55B7E" w:rsidP="00B55B7E">
      <w:pPr>
        <w:spacing w:after="120" w:line="240" w:lineRule="auto"/>
        <w:ind w:firstLine="709"/>
        <w:jc w:val="both"/>
        <w:rPr>
          <w:rFonts w:ascii="Times New Roman" w:hAnsi="Times New Roman" w:cs="Times New Roman"/>
          <w:sz w:val="26"/>
          <w:szCs w:val="26"/>
        </w:rPr>
      </w:pPr>
    </w:p>
    <w:p w:rsidR="00B55B7E" w:rsidRDefault="00B55B7E" w:rsidP="00B55B7E">
      <w:pPr>
        <w:spacing w:after="120" w:line="240" w:lineRule="auto"/>
        <w:ind w:firstLine="709"/>
        <w:jc w:val="both"/>
        <w:rPr>
          <w:rFonts w:ascii="Times New Roman" w:hAnsi="Times New Roman" w:cs="Times New Roman"/>
          <w:sz w:val="26"/>
          <w:szCs w:val="26"/>
        </w:rPr>
      </w:pPr>
    </w:p>
    <w:p w:rsidR="00B55B7E" w:rsidRDefault="00B55B7E" w:rsidP="00B55B7E">
      <w:pPr>
        <w:spacing w:after="120" w:line="240" w:lineRule="auto"/>
        <w:ind w:firstLine="709"/>
        <w:jc w:val="both"/>
        <w:rPr>
          <w:rFonts w:ascii="Times New Roman" w:hAnsi="Times New Roman" w:cs="Times New Roman"/>
          <w:sz w:val="26"/>
          <w:szCs w:val="26"/>
        </w:rPr>
      </w:pPr>
    </w:p>
    <w:p w:rsidR="00B55B7E" w:rsidRDefault="00B55B7E" w:rsidP="00B55B7E">
      <w:pPr>
        <w:spacing w:after="120" w:line="240" w:lineRule="auto"/>
        <w:ind w:firstLine="709"/>
        <w:jc w:val="both"/>
        <w:rPr>
          <w:rFonts w:ascii="Times New Roman" w:hAnsi="Times New Roman" w:cs="Times New Roman"/>
          <w:sz w:val="26"/>
          <w:szCs w:val="26"/>
        </w:rPr>
      </w:pPr>
    </w:p>
    <w:p w:rsidR="00B55B7E" w:rsidRDefault="00B55B7E" w:rsidP="00B55B7E">
      <w:pPr>
        <w:spacing w:after="120" w:line="240" w:lineRule="auto"/>
        <w:ind w:firstLine="709"/>
        <w:jc w:val="both"/>
        <w:rPr>
          <w:rFonts w:ascii="Times New Roman" w:hAnsi="Times New Roman" w:cs="Times New Roman"/>
          <w:sz w:val="26"/>
          <w:szCs w:val="26"/>
        </w:rPr>
      </w:pPr>
    </w:p>
    <w:p w:rsidR="00B55B7E" w:rsidRDefault="00B55B7E" w:rsidP="00B55B7E">
      <w:pPr>
        <w:spacing w:after="120" w:line="240" w:lineRule="auto"/>
        <w:ind w:firstLine="709"/>
        <w:jc w:val="both"/>
        <w:rPr>
          <w:rFonts w:ascii="Times New Roman" w:hAnsi="Times New Roman" w:cs="Times New Roman"/>
          <w:sz w:val="26"/>
          <w:szCs w:val="26"/>
        </w:rPr>
      </w:pPr>
    </w:p>
    <w:p w:rsidR="00B55B7E" w:rsidRDefault="00B55B7E" w:rsidP="00B55B7E">
      <w:pPr>
        <w:spacing w:after="120" w:line="240" w:lineRule="auto"/>
        <w:ind w:firstLine="709"/>
        <w:jc w:val="both"/>
        <w:rPr>
          <w:rFonts w:ascii="Times New Roman" w:hAnsi="Times New Roman" w:cs="Times New Roman"/>
          <w:sz w:val="26"/>
          <w:szCs w:val="26"/>
        </w:rPr>
      </w:pPr>
    </w:p>
    <w:p w:rsidR="00B55B7E" w:rsidRDefault="00B55B7E" w:rsidP="00B55B7E">
      <w:pPr>
        <w:spacing w:after="120" w:line="240" w:lineRule="auto"/>
        <w:ind w:firstLine="709"/>
        <w:jc w:val="both"/>
        <w:rPr>
          <w:rFonts w:ascii="Times New Roman" w:hAnsi="Times New Roman" w:cs="Times New Roman"/>
          <w:sz w:val="26"/>
          <w:szCs w:val="26"/>
        </w:rPr>
      </w:pPr>
    </w:p>
    <w:p w:rsidR="00B55B7E" w:rsidRDefault="00B55B7E" w:rsidP="00B55B7E">
      <w:pPr>
        <w:spacing w:after="120" w:line="240" w:lineRule="auto"/>
        <w:ind w:firstLine="709"/>
        <w:jc w:val="both"/>
        <w:rPr>
          <w:rFonts w:ascii="Times New Roman" w:hAnsi="Times New Roman" w:cs="Times New Roman"/>
          <w:sz w:val="26"/>
          <w:szCs w:val="26"/>
        </w:rPr>
      </w:pPr>
    </w:p>
    <w:p w:rsidR="00B55B7E" w:rsidRDefault="00B55B7E" w:rsidP="00B55B7E">
      <w:pPr>
        <w:spacing w:after="120" w:line="240" w:lineRule="auto"/>
        <w:ind w:firstLine="709"/>
        <w:jc w:val="both"/>
        <w:rPr>
          <w:rFonts w:ascii="Times New Roman" w:hAnsi="Times New Roman" w:cs="Times New Roman"/>
          <w:sz w:val="26"/>
          <w:szCs w:val="26"/>
        </w:rPr>
      </w:pPr>
    </w:p>
    <w:p w:rsidR="00B55B7E" w:rsidRDefault="00B55B7E" w:rsidP="00B55B7E">
      <w:pPr>
        <w:spacing w:after="120" w:line="240" w:lineRule="auto"/>
        <w:ind w:firstLine="709"/>
        <w:jc w:val="both"/>
        <w:rPr>
          <w:rFonts w:ascii="Times New Roman" w:hAnsi="Times New Roman" w:cs="Times New Roman"/>
          <w:sz w:val="26"/>
          <w:szCs w:val="26"/>
        </w:rPr>
      </w:pPr>
    </w:p>
    <w:p w:rsidR="00B55B7E" w:rsidRPr="00B55B7E" w:rsidRDefault="00B55B7E" w:rsidP="000F4260">
      <w:pPr>
        <w:spacing w:after="120" w:line="240" w:lineRule="auto"/>
        <w:jc w:val="both"/>
        <w:rPr>
          <w:rFonts w:ascii="Times New Roman" w:hAnsi="Times New Roman" w:cs="Times New Roman"/>
          <w:sz w:val="26"/>
          <w:szCs w:val="26"/>
        </w:rPr>
      </w:pPr>
    </w:p>
    <w:p w:rsidR="00A44E5D" w:rsidRDefault="00A44E5D" w:rsidP="00B55B7E">
      <w:pPr>
        <w:pStyle w:val="1"/>
        <w:jc w:val="both"/>
        <w:rPr>
          <w:rFonts w:ascii="Times New Roman" w:hAnsi="Times New Roman" w:cs="Times New Roman"/>
          <w:color w:val="1F497D" w:themeColor="text2"/>
        </w:rPr>
      </w:pPr>
      <w:bookmarkStart w:id="191" w:name="_Toc431474316"/>
      <w:r w:rsidRPr="00B55B7E">
        <w:rPr>
          <w:rFonts w:ascii="Times New Roman" w:hAnsi="Times New Roman" w:cs="Times New Roman"/>
          <w:color w:val="1F497D" w:themeColor="text2"/>
        </w:rPr>
        <w:lastRenderedPageBreak/>
        <w:t>Тарифная политика инфраструктурных монополий: результативность практик</w:t>
      </w:r>
      <w:r w:rsidR="00B55B7E" w:rsidRPr="00B55B7E">
        <w:rPr>
          <w:rFonts w:ascii="Times New Roman" w:hAnsi="Times New Roman" w:cs="Times New Roman"/>
          <w:color w:val="1F497D" w:themeColor="text2"/>
        </w:rPr>
        <w:t>и «ручного» сдерживания тарифов</w:t>
      </w:r>
      <w:bookmarkEnd w:id="191"/>
    </w:p>
    <w:p w:rsidR="00B55B7E" w:rsidRPr="00B55B7E" w:rsidRDefault="00B55B7E" w:rsidP="00B55B7E"/>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На основе статьи 11 №147-ФЗ «О естественных монополиях» от 17.08.1995 и Постановления Правительства РФ от 30.06.2004  №332,  ФАС РФ</w:t>
      </w:r>
      <w:r w:rsidR="00922DFA">
        <w:rPr>
          <w:rStyle w:val="af1"/>
          <w:rFonts w:ascii="Times New Roman" w:hAnsi="Times New Roman" w:cs="Times New Roman"/>
          <w:sz w:val="26"/>
          <w:szCs w:val="26"/>
        </w:rPr>
        <w:footnoteReference w:id="1"/>
      </w:r>
      <w:r w:rsidRPr="00B55B7E">
        <w:rPr>
          <w:rFonts w:ascii="Times New Roman" w:hAnsi="Times New Roman" w:cs="Times New Roman"/>
          <w:sz w:val="26"/>
          <w:szCs w:val="26"/>
        </w:rPr>
        <w:t xml:space="preserve">  устанавливает регулируемые цены (тарифы) на следующие виды услуги и товары, имеющие отношение к функционированию газовой и нефтяной отраслей:</w:t>
      </w:r>
    </w:p>
    <w:p w:rsidR="00A44E5D" w:rsidRPr="00B55B7E" w:rsidRDefault="00A44E5D" w:rsidP="00B55B7E">
      <w:pPr>
        <w:pStyle w:val="a5"/>
        <w:numPr>
          <w:ilvl w:val="0"/>
          <w:numId w:val="7"/>
        </w:numPr>
        <w:spacing w:after="120"/>
        <w:jc w:val="both"/>
        <w:rPr>
          <w:rFonts w:ascii="Times New Roman" w:hAnsi="Times New Roman" w:cs="Times New Roman"/>
          <w:sz w:val="26"/>
          <w:szCs w:val="26"/>
        </w:rPr>
      </w:pPr>
      <w:r w:rsidRPr="00B55B7E">
        <w:rPr>
          <w:rFonts w:ascii="Times New Roman" w:hAnsi="Times New Roman" w:cs="Times New Roman"/>
          <w:sz w:val="26"/>
          <w:szCs w:val="26"/>
        </w:rPr>
        <w:t>тарифы на услуги по транспортировке газа по магистральным газопроводам ПАО «Газпром», входящим в Единую систему газоснабжения, для независимых организаций;</w:t>
      </w:r>
    </w:p>
    <w:p w:rsidR="00A44E5D" w:rsidRPr="00B55B7E" w:rsidRDefault="00A44E5D" w:rsidP="00B55B7E">
      <w:pPr>
        <w:pStyle w:val="a5"/>
        <w:numPr>
          <w:ilvl w:val="0"/>
          <w:numId w:val="7"/>
        </w:numPr>
        <w:spacing w:after="120"/>
        <w:jc w:val="both"/>
        <w:rPr>
          <w:rFonts w:ascii="Times New Roman" w:hAnsi="Times New Roman" w:cs="Times New Roman"/>
          <w:sz w:val="26"/>
          <w:szCs w:val="26"/>
        </w:rPr>
      </w:pPr>
      <w:r w:rsidRPr="00B55B7E">
        <w:rPr>
          <w:rFonts w:ascii="Times New Roman" w:hAnsi="Times New Roman" w:cs="Times New Roman"/>
          <w:sz w:val="26"/>
          <w:szCs w:val="26"/>
        </w:rPr>
        <w:t>оптовые цены на газ, используемые в качестве предельных минимальных и предельных максимальных уровней оптовых цен на газ, добываемый ПАО «Газпром» и его аффилированными лицами, реализуемый потребителям РФ</w:t>
      </w:r>
      <w:r w:rsidR="00922DFA">
        <w:rPr>
          <w:rStyle w:val="af1"/>
          <w:rFonts w:ascii="Times New Roman" w:hAnsi="Times New Roman" w:cs="Times New Roman"/>
          <w:sz w:val="26"/>
          <w:szCs w:val="26"/>
        </w:rPr>
        <w:footnoteReference w:id="2"/>
      </w:r>
      <w:r w:rsidRPr="00B55B7E">
        <w:rPr>
          <w:rFonts w:ascii="Times New Roman" w:hAnsi="Times New Roman" w:cs="Times New Roman"/>
          <w:sz w:val="26"/>
          <w:szCs w:val="26"/>
        </w:rPr>
        <w:t>;</w:t>
      </w:r>
    </w:p>
    <w:p w:rsidR="00A44E5D" w:rsidRPr="00B55B7E" w:rsidRDefault="00A44E5D" w:rsidP="00B55B7E">
      <w:pPr>
        <w:pStyle w:val="a5"/>
        <w:numPr>
          <w:ilvl w:val="0"/>
          <w:numId w:val="7"/>
        </w:numPr>
        <w:spacing w:after="120"/>
        <w:jc w:val="both"/>
        <w:rPr>
          <w:rFonts w:ascii="Times New Roman" w:hAnsi="Times New Roman" w:cs="Times New Roman"/>
          <w:sz w:val="26"/>
          <w:szCs w:val="26"/>
        </w:rPr>
      </w:pPr>
      <w:r w:rsidRPr="00B55B7E">
        <w:rPr>
          <w:rFonts w:ascii="Times New Roman" w:hAnsi="Times New Roman" w:cs="Times New Roman"/>
          <w:sz w:val="26"/>
          <w:szCs w:val="26"/>
        </w:rPr>
        <w:t>тарифы на услуги ОАО «АК «</w:t>
      </w:r>
      <w:proofErr w:type="spellStart"/>
      <w:r w:rsidRPr="00B55B7E">
        <w:rPr>
          <w:rFonts w:ascii="Times New Roman" w:hAnsi="Times New Roman" w:cs="Times New Roman"/>
          <w:sz w:val="26"/>
          <w:szCs w:val="26"/>
        </w:rPr>
        <w:t>Транснефть</w:t>
      </w:r>
      <w:proofErr w:type="spellEnd"/>
      <w:r w:rsidRPr="00B55B7E">
        <w:rPr>
          <w:rFonts w:ascii="Times New Roman" w:hAnsi="Times New Roman" w:cs="Times New Roman"/>
          <w:sz w:val="26"/>
          <w:szCs w:val="26"/>
        </w:rPr>
        <w:t>» и его аффилированных лиц по транспортировке нефтепродуктов по магистральным трубопроводам;</w:t>
      </w:r>
    </w:p>
    <w:p w:rsidR="00A44E5D" w:rsidRPr="00B55B7E" w:rsidRDefault="00A44E5D" w:rsidP="00B55B7E">
      <w:pPr>
        <w:pStyle w:val="a5"/>
        <w:numPr>
          <w:ilvl w:val="0"/>
          <w:numId w:val="7"/>
        </w:numPr>
        <w:spacing w:after="120"/>
        <w:jc w:val="both"/>
        <w:rPr>
          <w:rFonts w:ascii="Times New Roman" w:hAnsi="Times New Roman" w:cs="Times New Roman"/>
          <w:sz w:val="26"/>
          <w:szCs w:val="26"/>
        </w:rPr>
      </w:pPr>
      <w:r w:rsidRPr="00B55B7E">
        <w:rPr>
          <w:rFonts w:ascii="Times New Roman" w:hAnsi="Times New Roman" w:cs="Times New Roman"/>
          <w:sz w:val="26"/>
          <w:szCs w:val="26"/>
        </w:rPr>
        <w:t>предельно максимальные ставки тарифов на услуги ОАО «АК «</w:t>
      </w:r>
      <w:proofErr w:type="spellStart"/>
      <w:r w:rsidRPr="00B55B7E">
        <w:rPr>
          <w:rFonts w:ascii="Times New Roman" w:hAnsi="Times New Roman" w:cs="Times New Roman"/>
          <w:sz w:val="26"/>
          <w:szCs w:val="26"/>
        </w:rPr>
        <w:t>Транснефть</w:t>
      </w:r>
      <w:proofErr w:type="spellEnd"/>
      <w:r w:rsidRPr="00B55B7E">
        <w:rPr>
          <w:rFonts w:ascii="Times New Roman" w:hAnsi="Times New Roman" w:cs="Times New Roman"/>
          <w:sz w:val="26"/>
          <w:szCs w:val="26"/>
        </w:rPr>
        <w:t>» по наливу нефтепродуктов из системы магистральных трубопроводов;</w:t>
      </w:r>
    </w:p>
    <w:p w:rsidR="00A44E5D" w:rsidRPr="00B55B7E" w:rsidRDefault="00A44E5D" w:rsidP="00B55B7E">
      <w:pPr>
        <w:pStyle w:val="a5"/>
        <w:numPr>
          <w:ilvl w:val="0"/>
          <w:numId w:val="7"/>
        </w:numPr>
        <w:spacing w:after="120"/>
        <w:jc w:val="both"/>
        <w:rPr>
          <w:rFonts w:ascii="Times New Roman" w:hAnsi="Times New Roman" w:cs="Times New Roman"/>
          <w:sz w:val="26"/>
          <w:szCs w:val="26"/>
        </w:rPr>
      </w:pPr>
      <w:r w:rsidRPr="00B55B7E">
        <w:rPr>
          <w:rFonts w:ascii="Times New Roman" w:hAnsi="Times New Roman" w:cs="Times New Roman"/>
          <w:sz w:val="26"/>
          <w:szCs w:val="26"/>
        </w:rPr>
        <w:t>тарифы на услуги ОАО «АК «</w:t>
      </w:r>
      <w:proofErr w:type="spellStart"/>
      <w:r w:rsidRPr="00B55B7E">
        <w:rPr>
          <w:rFonts w:ascii="Times New Roman" w:hAnsi="Times New Roman" w:cs="Times New Roman"/>
          <w:sz w:val="26"/>
          <w:szCs w:val="26"/>
        </w:rPr>
        <w:t>Транснефть</w:t>
      </w:r>
      <w:proofErr w:type="spellEnd"/>
      <w:r w:rsidRPr="00B55B7E">
        <w:rPr>
          <w:rFonts w:ascii="Times New Roman" w:hAnsi="Times New Roman" w:cs="Times New Roman"/>
          <w:sz w:val="26"/>
          <w:szCs w:val="26"/>
        </w:rPr>
        <w:t>» по транспортировке нефти по системе магистральных трубопроводов;</w:t>
      </w:r>
    </w:p>
    <w:p w:rsidR="00A44E5D" w:rsidRPr="00B55B7E" w:rsidRDefault="00A44E5D" w:rsidP="00B55B7E">
      <w:pPr>
        <w:pStyle w:val="a5"/>
        <w:numPr>
          <w:ilvl w:val="0"/>
          <w:numId w:val="7"/>
        </w:numPr>
        <w:spacing w:after="120"/>
        <w:jc w:val="both"/>
        <w:rPr>
          <w:rFonts w:ascii="Times New Roman" w:hAnsi="Times New Roman" w:cs="Times New Roman"/>
          <w:sz w:val="26"/>
          <w:szCs w:val="26"/>
        </w:rPr>
      </w:pPr>
      <w:r w:rsidRPr="00B55B7E">
        <w:rPr>
          <w:rFonts w:ascii="Times New Roman" w:hAnsi="Times New Roman" w:cs="Times New Roman"/>
          <w:sz w:val="26"/>
          <w:szCs w:val="26"/>
        </w:rPr>
        <w:t>тарифы на перевозки грузов и услуги инфраструктуры, выполняемые российскими железными дорогами (Прейскурант №10-01).</w:t>
      </w:r>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Предсказуемость – основное требование, предъявляемое российскими поставщиками и потребителями нефти, нефтепродуктов и газа к государственному регулированию тарифов на услуги естественных монополий.</w:t>
      </w:r>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В предсказуемости тарифов заинтересованы и государство (в части формирования макроэкономической политики), и пользователи, и сами субъекты естественной монополии.</w:t>
      </w:r>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Тарифы, несомненно, должны покрывать затраты естественных монополий, а также обеспечивать приемлемую норму прибыли. Однако для этого необходимо, чтобы как регулятор, так и пользователи услуг естественных монополий (поставщики и потребители нефти, нефтепродуктов и газа) понимали структуру затрат и были уверены в корректности их расчета.  Пользователь услуг естественных монополий должен оплачивать только те затраты, которые непосредственно связаны с оказанием оплачиваемых им услуг. Практика перекрестного субсидирования может сохраняться в части осуществления поставок газа социально значимых категориям потребителей (прежде всего, населению), но в части транспорта углеводородов она приводит к противоестественному нарушению конкуренции.</w:t>
      </w:r>
    </w:p>
    <w:p w:rsidR="00A44E5D" w:rsidRPr="00B55B7E" w:rsidRDefault="00A44E5D" w:rsidP="00B55B7E">
      <w:pPr>
        <w:spacing w:after="120" w:line="240" w:lineRule="auto"/>
        <w:ind w:firstLine="709"/>
        <w:jc w:val="both"/>
        <w:rPr>
          <w:rFonts w:ascii="Times New Roman" w:hAnsi="Times New Roman" w:cs="Times New Roman"/>
          <w:sz w:val="26"/>
          <w:szCs w:val="26"/>
        </w:rPr>
      </w:pPr>
      <w:proofErr w:type="gramStart"/>
      <w:r w:rsidRPr="00B55B7E">
        <w:rPr>
          <w:rFonts w:ascii="Times New Roman" w:hAnsi="Times New Roman" w:cs="Times New Roman"/>
          <w:sz w:val="26"/>
          <w:szCs w:val="26"/>
        </w:rPr>
        <w:lastRenderedPageBreak/>
        <w:t xml:space="preserve">Ключевые проблемы в части </w:t>
      </w:r>
      <w:proofErr w:type="spellStart"/>
      <w:r w:rsidRPr="00B55B7E">
        <w:rPr>
          <w:rFonts w:ascii="Times New Roman" w:hAnsi="Times New Roman" w:cs="Times New Roman"/>
          <w:sz w:val="26"/>
          <w:szCs w:val="26"/>
        </w:rPr>
        <w:t>тарифообразования</w:t>
      </w:r>
      <w:proofErr w:type="spellEnd"/>
      <w:r w:rsidRPr="00B55B7E">
        <w:rPr>
          <w:rFonts w:ascii="Times New Roman" w:hAnsi="Times New Roman" w:cs="Times New Roman"/>
          <w:sz w:val="26"/>
          <w:szCs w:val="26"/>
        </w:rPr>
        <w:t xml:space="preserve"> в нефтегазовом комплексе связаны с непрозрачностью определения тарифов на транспортировку газа по магистральным газопроводам, регулируемым ФАС РФ, а также с искусственным выведением из-под государственного регулирования тарифов на транспортировку газа для дочерних структур ПАО «Газпром», а также на закачку, хранение и отбор газа в ПХГ для всех поставщиков газа.</w:t>
      </w:r>
      <w:proofErr w:type="gramEnd"/>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Тарифы на услуги по транспортировке газа по магистральным газопроводам являются одним из ключевых факторов, влияющих на конкурентоспособность поставок газа ВИНК и независимых производителей газа. В зависимости от удаленности точки поставки от районов добычи газа, на услуги по транспортировке приходится от 10% (ЯНАО) до 70-75% (западные регионы Европейской части страны) конечной (оптовой) цены на газ.</w:t>
      </w:r>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Несмотря на опережающий рост тарифов</w:t>
      </w:r>
      <w:r w:rsidR="007828CD">
        <w:rPr>
          <w:rFonts w:ascii="Times New Roman" w:hAnsi="Times New Roman" w:cs="Times New Roman"/>
          <w:sz w:val="26"/>
          <w:szCs w:val="26"/>
        </w:rPr>
        <w:t>,</w:t>
      </w:r>
      <w:r w:rsidRPr="00B55B7E">
        <w:rPr>
          <w:rFonts w:ascii="Times New Roman" w:hAnsi="Times New Roman" w:cs="Times New Roman"/>
          <w:sz w:val="26"/>
          <w:szCs w:val="26"/>
        </w:rPr>
        <w:t xml:space="preserve"> уровень рентабельности поставок газа ВИНК и независимых производителей газа в регионы, приближенные к районам добычи, в последние годы увеличился. Последнее связано с опережающими темпами роста регулируемых оптовых цен (за 2010-2014 гг. оптовые цены для промышленности выросли на 52%), полностью компенсировавших рост стоимости транспортировки. В 2013 г. рентабельность поставок газа ВИНК и независимых производителей газа на рынки ЯНАО, ХМАО и Свердловской области превышала 18% (в 2011 г. – менее 14%), прибыль от продажи газа в других регионах Урала и Восточном Поволжье оставалась выше 10%.</w:t>
      </w:r>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Опережающая индексацию ставк</w:t>
      </w:r>
      <w:r w:rsidR="007828CD">
        <w:rPr>
          <w:rFonts w:ascii="Times New Roman" w:hAnsi="Times New Roman" w:cs="Times New Roman"/>
          <w:sz w:val="26"/>
          <w:szCs w:val="26"/>
        </w:rPr>
        <w:t>а</w:t>
      </w:r>
      <w:r w:rsidRPr="00B55B7E">
        <w:rPr>
          <w:rFonts w:ascii="Times New Roman" w:hAnsi="Times New Roman" w:cs="Times New Roman"/>
          <w:sz w:val="26"/>
          <w:szCs w:val="26"/>
        </w:rPr>
        <w:t xml:space="preserve"> за пользование магистральными газопроводами на близкие расстояния привела к некоторому снижению привлекательности рынков отдельных газодобывающих регионов (поставки на рынки ЯНАО, ХМАО, Республики Коми) в пользу ближайших крупных регионов потребителей (Свердловская, Челябинская, Кировская области). В то же время, в большинстве регионов ВИНК и независимые производители газа вынуждены продавать газ с дисконтом к стоимости газа в ЯНАО/ХМАО (доходность от поставок остается положительной, но в абсолютных значениях ниже прибыли, получаемой от реализации газа в ЯНАО/ХМАО). </w:t>
      </w:r>
    </w:p>
    <w:p w:rsidR="00A44E5D"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 xml:space="preserve">Такая ситуация приводит к увеличению давления независимых производителей газа на рынок «премиальных» регионов (близких к районам добычи газа) и, как следствие, дальнейшему вытеснению ПАО «Газпром» из этих регионов (в Челябинской области после продажи ООО «Газпром </w:t>
      </w:r>
      <w:proofErr w:type="spellStart"/>
      <w:r w:rsidRPr="00B55B7E">
        <w:rPr>
          <w:rFonts w:ascii="Times New Roman" w:hAnsi="Times New Roman" w:cs="Times New Roman"/>
          <w:sz w:val="26"/>
          <w:szCs w:val="26"/>
        </w:rPr>
        <w:t>Межрегионгаз</w:t>
      </w:r>
      <w:proofErr w:type="spellEnd"/>
      <w:r w:rsidRPr="00B55B7E">
        <w:rPr>
          <w:rFonts w:ascii="Times New Roman" w:hAnsi="Times New Roman" w:cs="Times New Roman"/>
          <w:sz w:val="26"/>
          <w:szCs w:val="26"/>
        </w:rPr>
        <w:t xml:space="preserve"> Челябинск» </w:t>
      </w:r>
      <w:r w:rsidR="007828CD">
        <w:rPr>
          <w:rFonts w:ascii="Times New Roman" w:hAnsi="Times New Roman" w:cs="Times New Roman"/>
          <w:sz w:val="26"/>
          <w:szCs w:val="26"/>
        </w:rPr>
        <w:t xml:space="preserve">            </w:t>
      </w:r>
      <w:r w:rsidRPr="00B55B7E">
        <w:rPr>
          <w:rFonts w:ascii="Times New Roman" w:hAnsi="Times New Roman" w:cs="Times New Roman"/>
          <w:sz w:val="26"/>
          <w:szCs w:val="26"/>
        </w:rPr>
        <w:t>ОАО «НОВАТЭК» доля НПГ на рынке достигла 100%). В то же время, расширение продаж в прочие регионы (западные области Европейской части России) происходит меньшими темпами из-за меньшей привлекательности рынка – за вычетом расходов на транспортировку газа (</w:t>
      </w:r>
      <w:proofErr w:type="spellStart"/>
      <w:r w:rsidRPr="00B55B7E">
        <w:rPr>
          <w:rFonts w:ascii="Times New Roman" w:hAnsi="Times New Roman" w:cs="Times New Roman"/>
          <w:sz w:val="26"/>
          <w:szCs w:val="26"/>
        </w:rPr>
        <w:t>net</w:t>
      </w:r>
      <w:proofErr w:type="spellEnd"/>
      <w:r w:rsidRPr="00B55B7E">
        <w:rPr>
          <w:rFonts w:ascii="Times New Roman" w:hAnsi="Times New Roman" w:cs="Times New Roman"/>
          <w:sz w:val="26"/>
          <w:szCs w:val="26"/>
        </w:rPr>
        <w:t xml:space="preserve"> </w:t>
      </w:r>
      <w:proofErr w:type="spellStart"/>
      <w:r w:rsidRPr="00B55B7E">
        <w:rPr>
          <w:rFonts w:ascii="Times New Roman" w:hAnsi="Times New Roman" w:cs="Times New Roman"/>
          <w:sz w:val="26"/>
          <w:szCs w:val="26"/>
        </w:rPr>
        <w:t>back</w:t>
      </w:r>
      <w:proofErr w:type="spellEnd"/>
      <w:r w:rsidRPr="00B55B7E">
        <w:rPr>
          <w:rFonts w:ascii="Times New Roman" w:hAnsi="Times New Roman" w:cs="Times New Roman"/>
          <w:sz w:val="26"/>
          <w:szCs w:val="26"/>
        </w:rPr>
        <w:t xml:space="preserve"> к условиям поставки газа в ЯНАО) цены реализации газа в этих регионах на 3-8% ниже стоимости газа в ЯНАО. Учитывая то, что ВИНК и особенно независимые производители газа для получения контрактов с крупными потребителями активно предоставляют скидки к регулируемым оптовым ценам, рентабельность продаж для них в таких регионах близка к 0%.</w:t>
      </w:r>
    </w:p>
    <w:p w:rsidR="00EE4522" w:rsidRDefault="00EE4522" w:rsidP="00B55B7E">
      <w:pPr>
        <w:spacing w:after="120" w:line="240" w:lineRule="auto"/>
        <w:ind w:firstLine="709"/>
        <w:jc w:val="both"/>
        <w:rPr>
          <w:rFonts w:ascii="Times New Roman" w:hAnsi="Times New Roman" w:cs="Times New Roman"/>
          <w:sz w:val="26"/>
          <w:szCs w:val="26"/>
        </w:rPr>
      </w:pPr>
    </w:p>
    <w:p w:rsidR="00EE4522" w:rsidRDefault="00EE4522" w:rsidP="00B55B7E">
      <w:pPr>
        <w:spacing w:after="120" w:line="240" w:lineRule="auto"/>
        <w:ind w:firstLine="709"/>
        <w:jc w:val="both"/>
        <w:rPr>
          <w:rFonts w:ascii="Times New Roman" w:hAnsi="Times New Roman" w:cs="Times New Roman"/>
          <w:sz w:val="26"/>
          <w:szCs w:val="26"/>
        </w:rPr>
      </w:pPr>
    </w:p>
    <w:p w:rsidR="00EE4522" w:rsidRPr="00922DFA" w:rsidRDefault="00EE4522" w:rsidP="000F4260">
      <w:pPr>
        <w:spacing w:after="120" w:line="240" w:lineRule="auto"/>
        <w:jc w:val="both"/>
        <w:rPr>
          <w:rFonts w:ascii="Times New Roman" w:hAnsi="Times New Roman" w:cs="Times New Roman"/>
          <w:sz w:val="26"/>
          <w:szCs w:val="26"/>
        </w:rPr>
      </w:pPr>
    </w:p>
    <w:p w:rsidR="00EE4522" w:rsidRPr="000F4260" w:rsidRDefault="00A44E5D" w:rsidP="000F4260">
      <w:pPr>
        <w:pStyle w:val="1"/>
        <w:rPr>
          <w:rFonts w:ascii="Times New Roman" w:hAnsi="Times New Roman" w:cs="Times New Roman"/>
          <w:color w:val="1F497D" w:themeColor="text2"/>
        </w:rPr>
      </w:pPr>
      <w:bookmarkStart w:id="192" w:name="_Toc431474317"/>
      <w:r w:rsidRPr="00EE4522">
        <w:rPr>
          <w:rFonts w:ascii="Times New Roman" w:hAnsi="Times New Roman" w:cs="Times New Roman"/>
          <w:color w:val="1F497D" w:themeColor="text2"/>
        </w:rPr>
        <w:lastRenderedPageBreak/>
        <w:t xml:space="preserve">Налоговая нагрузка в </w:t>
      </w:r>
      <w:r w:rsidR="00EE4522" w:rsidRPr="00EE4522">
        <w:rPr>
          <w:rFonts w:ascii="Times New Roman" w:hAnsi="Times New Roman" w:cs="Times New Roman"/>
          <w:color w:val="1F497D" w:themeColor="text2"/>
        </w:rPr>
        <w:t xml:space="preserve">нефтегазовом секторе: в поисках </w:t>
      </w:r>
      <w:r w:rsidRPr="00EE4522">
        <w:rPr>
          <w:rFonts w:ascii="Times New Roman" w:hAnsi="Times New Roman" w:cs="Times New Roman"/>
          <w:color w:val="1F497D" w:themeColor="text2"/>
        </w:rPr>
        <w:t>эффективности</w:t>
      </w:r>
      <w:bookmarkEnd w:id="192"/>
    </w:p>
    <w:p w:rsidR="00A44E5D" w:rsidRPr="00922DFA" w:rsidRDefault="00A44E5D" w:rsidP="000F4260">
      <w:pPr>
        <w:pStyle w:val="1"/>
        <w:rPr>
          <w:rFonts w:ascii="Times New Roman" w:hAnsi="Times New Roman" w:cs="Times New Roman"/>
          <w:i/>
          <w:color w:val="1F497D" w:themeColor="text2"/>
          <w:sz w:val="26"/>
          <w:szCs w:val="26"/>
        </w:rPr>
      </w:pPr>
      <w:bookmarkStart w:id="193" w:name="_Toc431474318"/>
      <w:r w:rsidRPr="00922DFA">
        <w:rPr>
          <w:rFonts w:ascii="Times New Roman" w:hAnsi="Times New Roman" w:cs="Times New Roman"/>
          <w:i/>
          <w:color w:val="1F497D" w:themeColor="text2"/>
          <w:sz w:val="26"/>
          <w:szCs w:val="26"/>
        </w:rPr>
        <w:t>Основные выводы</w:t>
      </w:r>
      <w:bookmarkEnd w:id="193"/>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Ухудшение конъюнктуры на нефтяном рынке обострило дискуссии о справедливости и эффективности налогообложении сектора во многих добывающих странах. В отдельных странах эта дискуссия ориентирована только на решение проблем компаний и сохранения рабочих мест, но в России к этим вопросам добавляется необходимость поддержания высоких налоговых поступлений от сектора, что значительно повышает ответственность за принимаемые решения.</w:t>
      </w:r>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 xml:space="preserve">Уже сегодня российские нефтегазовые компании испытывают более высокую налоговую нагрузку в сравнении с компаниями других отраслей, выступая донором для российской экономики. По сравнению с зарубежными нефтегазовыми компаниями их налоговая нагрузка также выглядит как более высокая. Это однозначный сигнал о необходимости выверенных регулирующих воздействий на отрасль, так как эксплуатируемые сегодня месторождения с низкой себестоимостью добычи уже истощаются, и по уровню и структуре издержек российские компании будут приближаться к зарубежным коллегам. </w:t>
      </w:r>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В развитых странах, с низкой обеспеченностью запасами нефти и газа, и диверсифицированной экономикой, налоговая система ориентирована на контроль и обложение финансового результата в рамках универсального корпоративного налогообложения, дополненного специфическими отраслевыми нюансами. Такая политика позволяет частично компенсировать высокую себестоимость и убывающую отдачу от местных месторождений, а также позволяет компаниям проводить зарубежную экспансию. Важную роль играет амортизационная политика, предоставляющая нефтегазовым компаниям не только ускоренно списать затраты на материальные (а в отдельных случаях и нематериальные) активы, но и списать несколько более затраченных сумм (</w:t>
      </w:r>
      <w:proofErr w:type="spellStart"/>
      <w:r w:rsidRPr="00B55B7E">
        <w:rPr>
          <w:rFonts w:ascii="Times New Roman" w:hAnsi="Times New Roman" w:cs="Times New Roman"/>
          <w:sz w:val="26"/>
          <w:szCs w:val="26"/>
        </w:rPr>
        <w:t>аплифт</w:t>
      </w:r>
      <w:proofErr w:type="spellEnd"/>
      <w:r w:rsidRPr="00B55B7E">
        <w:rPr>
          <w:rFonts w:ascii="Times New Roman" w:hAnsi="Times New Roman" w:cs="Times New Roman"/>
          <w:sz w:val="26"/>
          <w:szCs w:val="26"/>
        </w:rPr>
        <w:t>), тем самым, поощряя инвестиционную активность.</w:t>
      </w:r>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По структуре налоговых изъятий и источникам обложения существующая система налогообложения нефтегазового сектора России ближе к развивающимся странам. Преобладающая роль отводится механизмам изъятия условно-дифференциальной ренты, и в последнюю очередь – налогу на доходы. Реализованный «налоговый маневр» пока не вызывал значимого увеличения нагрузки на российские нефтегазовые компании, но он и не в полной мере отвечает долгосрочным интересам развития отрасли.</w:t>
      </w:r>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Радикальные изменения российской налоговой системы в ближайшем будущем не представляются целесообразными. Тем более</w:t>
      </w:r>
      <w:proofErr w:type="gramStart"/>
      <w:r w:rsidRPr="00B55B7E">
        <w:rPr>
          <w:rFonts w:ascii="Times New Roman" w:hAnsi="Times New Roman" w:cs="Times New Roman"/>
          <w:sz w:val="26"/>
          <w:szCs w:val="26"/>
        </w:rPr>
        <w:t>,</w:t>
      </w:r>
      <w:proofErr w:type="gramEnd"/>
      <w:r w:rsidRPr="00B55B7E">
        <w:rPr>
          <w:rFonts w:ascii="Times New Roman" w:hAnsi="Times New Roman" w:cs="Times New Roman"/>
          <w:sz w:val="26"/>
          <w:szCs w:val="26"/>
        </w:rPr>
        <w:t xml:space="preserve"> что сложившаяся система обложения нефтегазовых доходов выполняет не только фискальную функцию, но и функцию ценового регулирования для внутреннего рынка нефтепродуктов, через который налоговая нагрузка перераспределяется на прочие отрасли экономики.</w:t>
      </w:r>
    </w:p>
    <w:p w:rsidR="00A44E5D" w:rsidRPr="00B55B7E" w:rsidRDefault="00A44E5D" w:rsidP="000F4260">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 xml:space="preserve">Для решения проблемы восстановления ресурсной базы целесообразно рассмотреть возможность создания специальных отраслевых фондов, аккумулирующих ресурсы на разведку и разработку недр. Одновременно необходимо продолжать совершенствование НДПИ и экспортных пошлин, льгот по ним, амортизационной политики и административных процедур по управлению недрами </w:t>
      </w:r>
      <w:r w:rsidRPr="00B55B7E">
        <w:rPr>
          <w:rFonts w:ascii="Times New Roman" w:hAnsi="Times New Roman" w:cs="Times New Roman"/>
          <w:sz w:val="26"/>
          <w:szCs w:val="26"/>
        </w:rPr>
        <w:lastRenderedPageBreak/>
        <w:t xml:space="preserve">страны в целях стимулирования малых независимых добывающих и </w:t>
      </w:r>
      <w:proofErr w:type="spellStart"/>
      <w:r w:rsidRPr="00B55B7E">
        <w:rPr>
          <w:rFonts w:ascii="Times New Roman" w:hAnsi="Times New Roman" w:cs="Times New Roman"/>
          <w:sz w:val="26"/>
          <w:szCs w:val="26"/>
        </w:rPr>
        <w:t>нефтесервисных</w:t>
      </w:r>
      <w:proofErr w:type="spellEnd"/>
      <w:r w:rsidRPr="00B55B7E">
        <w:rPr>
          <w:rFonts w:ascii="Times New Roman" w:hAnsi="Times New Roman" w:cs="Times New Roman"/>
          <w:sz w:val="26"/>
          <w:szCs w:val="26"/>
        </w:rPr>
        <w:t xml:space="preserve"> компаний, способных стать агентами для инновационного развития </w:t>
      </w:r>
      <w:r w:rsidR="000F4260">
        <w:rPr>
          <w:rFonts w:ascii="Times New Roman" w:hAnsi="Times New Roman" w:cs="Times New Roman"/>
          <w:sz w:val="26"/>
          <w:szCs w:val="26"/>
        </w:rPr>
        <w:t>отрасли.</w:t>
      </w:r>
    </w:p>
    <w:p w:rsidR="00A44E5D" w:rsidRPr="00922DFA" w:rsidRDefault="00A44E5D" w:rsidP="000F4260">
      <w:pPr>
        <w:pStyle w:val="1"/>
        <w:rPr>
          <w:rFonts w:ascii="Times New Roman" w:hAnsi="Times New Roman" w:cs="Times New Roman"/>
          <w:i/>
          <w:color w:val="1F497D" w:themeColor="text2"/>
          <w:sz w:val="26"/>
          <w:szCs w:val="26"/>
        </w:rPr>
      </w:pPr>
      <w:bookmarkStart w:id="194" w:name="_Toc431474319"/>
      <w:r w:rsidRPr="00922DFA">
        <w:rPr>
          <w:rFonts w:ascii="Times New Roman" w:hAnsi="Times New Roman" w:cs="Times New Roman"/>
          <w:i/>
          <w:color w:val="1F497D" w:themeColor="text2"/>
          <w:sz w:val="26"/>
          <w:szCs w:val="26"/>
        </w:rPr>
        <w:t>Налоги и налоговое бремя</w:t>
      </w:r>
      <w:bookmarkEnd w:id="194"/>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 xml:space="preserve">Налогообложение является закономерной потребностью как предпринимателей, заинтересованных в формировании правил игры, развитии территории и инфраструктуры для бизнеса, так и для государства, которое обеспечивает решение этих задач. </w:t>
      </w:r>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 xml:space="preserve">Основная проблема лежит в оценке справедливости и эффективности уровня налогообложения. Справедливость налоговых ставок является категорией относительной (экономический </w:t>
      </w:r>
      <w:proofErr w:type="gramStart"/>
      <w:r w:rsidRPr="00B55B7E">
        <w:rPr>
          <w:rFonts w:ascii="Times New Roman" w:hAnsi="Times New Roman" w:cs="Times New Roman"/>
          <w:sz w:val="26"/>
          <w:szCs w:val="26"/>
        </w:rPr>
        <w:t>субъект</w:t>
      </w:r>
      <w:proofErr w:type="gramEnd"/>
      <w:r w:rsidRPr="00B55B7E">
        <w:rPr>
          <w:rFonts w:ascii="Times New Roman" w:hAnsi="Times New Roman" w:cs="Times New Roman"/>
          <w:sz w:val="26"/>
          <w:szCs w:val="26"/>
        </w:rPr>
        <w:t xml:space="preserve"> так или иначе сравнивает собственную налоговую нагрузку с другими предприятиями отрасли в стране и за рубежом, с предприятиями других отраслей). Эффективность налогообложения категория более объективная. Для экономического субъекта она проявляется в возможности осуществления достаточных инвестиций в развитие, при этом достаточность в значительной мере зависит от того, выполняет ли государство свои задачи или же издержки на их решение перекладываются на бизнес. Эффективность налогообложения для государства проявляется в возможности выполнять свои обязательства перед всеми гражданами, а не только перед крупнейшими налогоплательщиками. Именно этот факт и обуславливает недовольство предпринимателей, полагающих, что для решения их задач можно было бы обойтись и меньшими изъятиями. Еще один предмет для конфронтации – это «себестоимость» налоговых трансакций.</w:t>
      </w:r>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 xml:space="preserve">В ресурсном секторе эти противоречия оказываются еще более заметными. Во-первых, возникает понятие ренты, которое ставит вопрос о необходимости ее оценки и справедливого перераспределения. Во-вторых, появление сверхнормативных (рентных) доходов обостряет дискуссию о возможных целях их использования. Наличие излишних ресурсов не стимулирует государство к поиску более эффективных траекторий развития, а подталкивает к дополнительным расходам, которые могут оказаться не всегда оправданными (ресурсное проклятие). Государство, со своей стороны, может посчитать, что предприниматель также не слишком эффективно распоряжается той частью ренты, которая осталась в его распоряжении (например, средства лежат на счетах или выведены в </w:t>
      </w:r>
      <w:proofErr w:type="spellStart"/>
      <w:r w:rsidRPr="00B55B7E">
        <w:rPr>
          <w:rFonts w:ascii="Times New Roman" w:hAnsi="Times New Roman" w:cs="Times New Roman"/>
          <w:sz w:val="26"/>
          <w:szCs w:val="26"/>
        </w:rPr>
        <w:t>оффшоры</w:t>
      </w:r>
      <w:proofErr w:type="spellEnd"/>
      <w:r w:rsidRPr="00B55B7E">
        <w:rPr>
          <w:rFonts w:ascii="Times New Roman" w:hAnsi="Times New Roman" w:cs="Times New Roman"/>
          <w:sz w:val="26"/>
          <w:szCs w:val="26"/>
        </w:rPr>
        <w:t>).</w:t>
      </w:r>
    </w:p>
    <w:p w:rsidR="00A44E5D" w:rsidRPr="00B55B7E"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 xml:space="preserve">И, безусловно, свой специфический оттенок эта дискуссия имеет на российской почве. Современный нефтяной комплекс был сформирован при социалистическом укладе экономики, позволявшем создать и избыточную инфраструктуру в нефтедобывающих регионах, и активно инвестировать в разведку и вовлечение в оборот новых месторождений. Это позволило отрасли совершить </w:t>
      </w:r>
      <w:proofErr w:type="gramStart"/>
      <w:r w:rsidRPr="00B55B7E">
        <w:rPr>
          <w:rFonts w:ascii="Times New Roman" w:hAnsi="Times New Roman" w:cs="Times New Roman"/>
          <w:sz w:val="26"/>
          <w:szCs w:val="26"/>
        </w:rPr>
        <w:t>достаточно безболезненный</w:t>
      </w:r>
      <w:proofErr w:type="gramEnd"/>
      <w:r w:rsidRPr="00B55B7E">
        <w:rPr>
          <w:rFonts w:ascii="Times New Roman" w:hAnsi="Times New Roman" w:cs="Times New Roman"/>
          <w:sz w:val="26"/>
          <w:szCs w:val="26"/>
        </w:rPr>
        <w:t xml:space="preserve"> переход к капиталистическому укладу, однако сегодня, когда советский задел стал истощаться, приходит время платить по счетам. Государство полагает, что сохранить темпы развития отрасли (и, соответственно, объемы поступлений в бюджет) – это задача собственников нефтяных компаний, которым были предоставлены в предыдущий период значительные преференции. Собственники компаний предпочитают фокусироваться на текущих проблемах отрасли, указывая на необходимость активного вовлечения государства в их решение </w:t>
      </w:r>
      <w:r w:rsidRPr="00B55B7E">
        <w:rPr>
          <w:rFonts w:ascii="Times New Roman" w:hAnsi="Times New Roman" w:cs="Times New Roman"/>
          <w:sz w:val="26"/>
          <w:szCs w:val="26"/>
        </w:rPr>
        <w:lastRenderedPageBreak/>
        <w:t>как за счет бюджетных инвестиций, так и за счет снижения налогового бремени на отрасль.</w:t>
      </w:r>
    </w:p>
    <w:p w:rsidR="00A44E5D" w:rsidRDefault="00A44E5D" w:rsidP="00B55B7E">
      <w:pPr>
        <w:spacing w:after="120" w:line="240" w:lineRule="auto"/>
        <w:ind w:firstLine="709"/>
        <w:jc w:val="both"/>
        <w:rPr>
          <w:rFonts w:ascii="Times New Roman" w:hAnsi="Times New Roman" w:cs="Times New Roman"/>
          <w:sz w:val="26"/>
          <w:szCs w:val="26"/>
        </w:rPr>
      </w:pPr>
      <w:r w:rsidRPr="00B55B7E">
        <w:rPr>
          <w:rFonts w:ascii="Times New Roman" w:hAnsi="Times New Roman" w:cs="Times New Roman"/>
          <w:sz w:val="26"/>
          <w:szCs w:val="26"/>
        </w:rPr>
        <w:t>Возобновление дискуссий о налогообложении нефтегазового сектора наблюдается во всех добывающих странах, не только в России. Американский президент обрушился на льготы, предоставляющие нефтяникам право снижать налогооблагаемую прибыль, назвав их субсидиями. Правительство Великобритании, избегая признания в провале налога на нефтяные доходы, ищет возможности для стимулирования дальнейшего развития отрасли. И все-таки наибольшая ответственность лежит на российских политиках, которые не могут пожертвовать интересами бюджета, слишком зависимого от нефтегазовой конъюнктуры, но и не могут не принимать во внимание необходимость решения накопившихся в отрасли проблем. </w:t>
      </w:r>
    </w:p>
    <w:p w:rsidR="00EE4522" w:rsidRDefault="00EE4522" w:rsidP="00B55B7E">
      <w:pPr>
        <w:spacing w:after="120" w:line="240" w:lineRule="auto"/>
        <w:ind w:firstLine="709"/>
        <w:jc w:val="both"/>
        <w:rPr>
          <w:rFonts w:ascii="Times New Roman" w:hAnsi="Times New Roman" w:cs="Times New Roman"/>
          <w:sz w:val="26"/>
          <w:szCs w:val="26"/>
        </w:rPr>
      </w:pPr>
    </w:p>
    <w:p w:rsidR="00EE4522" w:rsidRDefault="00EE4522" w:rsidP="00B55B7E">
      <w:pPr>
        <w:spacing w:after="120" w:line="240" w:lineRule="auto"/>
        <w:ind w:firstLine="709"/>
        <w:jc w:val="both"/>
        <w:rPr>
          <w:rFonts w:ascii="Times New Roman" w:hAnsi="Times New Roman" w:cs="Times New Roman"/>
          <w:sz w:val="26"/>
          <w:szCs w:val="26"/>
        </w:rPr>
      </w:pPr>
    </w:p>
    <w:p w:rsidR="00EE4522" w:rsidRDefault="00EE4522" w:rsidP="00B55B7E">
      <w:pPr>
        <w:spacing w:after="120" w:line="240" w:lineRule="auto"/>
        <w:ind w:firstLine="709"/>
        <w:jc w:val="both"/>
        <w:rPr>
          <w:rFonts w:ascii="Times New Roman" w:hAnsi="Times New Roman" w:cs="Times New Roman"/>
          <w:sz w:val="26"/>
          <w:szCs w:val="26"/>
        </w:rPr>
      </w:pPr>
    </w:p>
    <w:p w:rsidR="00EE4522" w:rsidRDefault="00EE4522" w:rsidP="00B55B7E">
      <w:pPr>
        <w:spacing w:after="120" w:line="240" w:lineRule="auto"/>
        <w:ind w:firstLine="709"/>
        <w:jc w:val="both"/>
        <w:rPr>
          <w:rFonts w:ascii="Times New Roman" w:hAnsi="Times New Roman" w:cs="Times New Roman"/>
          <w:sz w:val="26"/>
          <w:szCs w:val="26"/>
        </w:rPr>
      </w:pPr>
    </w:p>
    <w:p w:rsidR="00EE4522" w:rsidRDefault="00EE4522" w:rsidP="00B55B7E">
      <w:pPr>
        <w:spacing w:after="120" w:line="240" w:lineRule="auto"/>
        <w:ind w:firstLine="709"/>
        <w:jc w:val="both"/>
        <w:rPr>
          <w:rFonts w:ascii="Times New Roman" w:hAnsi="Times New Roman" w:cs="Times New Roman"/>
          <w:sz w:val="26"/>
          <w:szCs w:val="26"/>
        </w:rPr>
      </w:pPr>
    </w:p>
    <w:p w:rsidR="00EE4522" w:rsidRDefault="00EE4522" w:rsidP="00B55B7E">
      <w:pPr>
        <w:spacing w:after="120" w:line="240" w:lineRule="auto"/>
        <w:ind w:firstLine="709"/>
        <w:jc w:val="both"/>
        <w:rPr>
          <w:rFonts w:ascii="Times New Roman" w:hAnsi="Times New Roman" w:cs="Times New Roman"/>
          <w:sz w:val="26"/>
          <w:szCs w:val="26"/>
        </w:rPr>
      </w:pPr>
    </w:p>
    <w:p w:rsidR="00EE4522" w:rsidRDefault="00EE4522" w:rsidP="00B55B7E">
      <w:pPr>
        <w:spacing w:after="120" w:line="240" w:lineRule="auto"/>
        <w:ind w:firstLine="709"/>
        <w:jc w:val="both"/>
        <w:rPr>
          <w:rFonts w:ascii="Times New Roman" w:hAnsi="Times New Roman" w:cs="Times New Roman"/>
          <w:sz w:val="26"/>
          <w:szCs w:val="26"/>
        </w:rPr>
      </w:pPr>
    </w:p>
    <w:p w:rsidR="00EE4522" w:rsidRDefault="00EE4522" w:rsidP="00B55B7E">
      <w:pPr>
        <w:spacing w:after="120" w:line="240" w:lineRule="auto"/>
        <w:ind w:firstLine="709"/>
        <w:jc w:val="both"/>
        <w:rPr>
          <w:rFonts w:ascii="Times New Roman" w:hAnsi="Times New Roman" w:cs="Times New Roman"/>
          <w:sz w:val="26"/>
          <w:szCs w:val="26"/>
        </w:rPr>
      </w:pPr>
    </w:p>
    <w:p w:rsidR="00EE4522" w:rsidRDefault="00EE4522" w:rsidP="00B55B7E">
      <w:pPr>
        <w:spacing w:after="120" w:line="240" w:lineRule="auto"/>
        <w:ind w:firstLine="709"/>
        <w:jc w:val="both"/>
        <w:rPr>
          <w:rFonts w:ascii="Times New Roman" w:hAnsi="Times New Roman" w:cs="Times New Roman"/>
          <w:sz w:val="26"/>
          <w:szCs w:val="26"/>
        </w:rPr>
      </w:pPr>
    </w:p>
    <w:p w:rsidR="00EE4522" w:rsidRDefault="00EE4522" w:rsidP="00B55B7E">
      <w:pPr>
        <w:spacing w:after="120" w:line="240" w:lineRule="auto"/>
        <w:ind w:firstLine="709"/>
        <w:jc w:val="both"/>
        <w:rPr>
          <w:rFonts w:ascii="Times New Roman" w:hAnsi="Times New Roman" w:cs="Times New Roman"/>
          <w:sz w:val="26"/>
          <w:szCs w:val="26"/>
        </w:rPr>
      </w:pPr>
    </w:p>
    <w:p w:rsidR="00EE4522" w:rsidRDefault="00EE4522" w:rsidP="00B55B7E">
      <w:pPr>
        <w:spacing w:after="120" w:line="240" w:lineRule="auto"/>
        <w:ind w:firstLine="709"/>
        <w:jc w:val="both"/>
        <w:rPr>
          <w:rFonts w:ascii="Times New Roman" w:hAnsi="Times New Roman" w:cs="Times New Roman"/>
          <w:sz w:val="26"/>
          <w:szCs w:val="26"/>
        </w:rPr>
      </w:pPr>
    </w:p>
    <w:p w:rsidR="00EE4522" w:rsidRDefault="00EE4522" w:rsidP="00B55B7E">
      <w:pPr>
        <w:spacing w:after="120" w:line="240" w:lineRule="auto"/>
        <w:ind w:firstLine="709"/>
        <w:jc w:val="both"/>
        <w:rPr>
          <w:rFonts w:ascii="Times New Roman" w:hAnsi="Times New Roman" w:cs="Times New Roman"/>
          <w:sz w:val="26"/>
          <w:szCs w:val="26"/>
        </w:rPr>
      </w:pPr>
    </w:p>
    <w:p w:rsidR="00EE4522" w:rsidRDefault="00EE4522" w:rsidP="00B55B7E">
      <w:pPr>
        <w:spacing w:after="120" w:line="240" w:lineRule="auto"/>
        <w:ind w:firstLine="709"/>
        <w:jc w:val="both"/>
        <w:rPr>
          <w:rFonts w:ascii="Times New Roman" w:hAnsi="Times New Roman" w:cs="Times New Roman"/>
          <w:sz w:val="26"/>
          <w:szCs w:val="26"/>
        </w:rPr>
      </w:pPr>
    </w:p>
    <w:p w:rsidR="00EE4522" w:rsidRDefault="00EE4522" w:rsidP="00B55B7E">
      <w:pPr>
        <w:spacing w:after="120" w:line="240" w:lineRule="auto"/>
        <w:ind w:firstLine="709"/>
        <w:jc w:val="both"/>
        <w:rPr>
          <w:rFonts w:ascii="Times New Roman" w:hAnsi="Times New Roman" w:cs="Times New Roman"/>
          <w:sz w:val="26"/>
          <w:szCs w:val="26"/>
        </w:rPr>
      </w:pPr>
    </w:p>
    <w:p w:rsidR="00EE4522" w:rsidRDefault="00EE4522" w:rsidP="00B55B7E">
      <w:pPr>
        <w:spacing w:after="120" w:line="240" w:lineRule="auto"/>
        <w:ind w:firstLine="709"/>
        <w:jc w:val="both"/>
        <w:rPr>
          <w:rFonts w:ascii="Times New Roman" w:hAnsi="Times New Roman" w:cs="Times New Roman"/>
          <w:sz w:val="26"/>
          <w:szCs w:val="26"/>
        </w:rPr>
      </w:pPr>
    </w:p>
    <w:p w:rsidR="00EE4522" w:rsidRDefault="00EE4522" w:rsidP="00B55B7E">
      <w:pPr>
        <w:spacing w:after="120" w:line="240" w:lineRule="auto"/>
        <w:ind w:firstLine="709"/>
        <w:jc w:val="both"/>
        <w:rPr>
          <w:rFonts w:ascii="Times New Roman" w:hAnsi="Times New Roman" w:cs="Times New Roman"/>
          <w:sz w:val="26"/>
          <w:szCs w:val="26"/>
        </w:rPr>
      </w:pPr>
    </w:p>
    <w:p w:rsidR="00EE4522" w:rsidRDefault="00EE4522" w:rsidP="00B55B7E">
      <w:pPr>
        <w:spacing w:after="120" w:line="240" w:lineRule="auto"/>
        <w:ind w:firstLine="709"/>
        <w:jc w:val="both"/>
        <w:rPr>
          <w:rFonts w:ascii="Times New Roman" w:hAnsi="Times New Roman" w:cs="Times New Roman"/>
          <w:sz w:val="26"/>
          <w:szCs w:val="26"/>
        </w:rPr>
      </w:pPr>
    </w:p>
    <w:p w:rsidR="00EE4522" w:rsidRDefault="00EE4522" w:rsidP="00B55B7E">
      <w:pPr>
        <w:spacing w:after="120" w:line="240" w:lineRule="auto"/>
        <w:ind w:firstLine="709"/>
        <w:jc w:val="both"/>
        <w:rPr>
          <w:rFonts w:ascii="Times New Roman" w:hAnsi="Times New Roman" w:cs="Times New Roman"/>
          <w:sz w:val="26"/>
          <w:szCs w:val="26"/>
        </w:rPr>
      </w:pPr>
    </w:p>
    <w:p w:rsidR="00EE4522" w:rsidRDefault="00EE4522" w:rsidP="00B55B7E">
      <w:pPr>
        <w:spacing w:after="120" w:line="240" w:lineRule="auto"/>
        <w:ind w:firstLine="709"/>
        <w:jc w:val="both"/>
        <w:rPr>
          <w:rFonts w:ascii="Times New Roman" w:hAnsi="Times New Roman" w:cs="Times New Roman"/>
          <w:sz w:val="26"/>
          <w:szCs w:val="26"/>
        </w:rPr>
      </w:pPr>
    </w:p>
    <w:p w:rsidR="00EE4522" w:rsidRDefault="00EE4522" w:rsidP="00B55B7E">
      <w:pPr>
        <w:spacing w:after="120" w:line="240" w:lineRule="auto"/>
        <w:ind w:firstLine="709"/>
        <w:jc w:val="both"/>
        <w:rPr>
          <w:rFonts w:ascii="Times New Roman" w:hAnsi="Times New Roman" w:cs="Times New Roman"/>
          <w:sz w:val="26"/>
          <w:szCs w:val="26"/>
        </w:rPr>
      </w:pPr>
    </w:p>
    <w:p w:rsidR="00EE4522" w:rsidRDefault="00EE4522" w:rsidP="00B55B7E">
      <w:pPr>
        <w:spacing w:after="120" w:line="240" w:lineRule="auto"/>
        <w:ind w:firstLine="709"/>
        <w:jc w:val="both"/>
        <w:rPr>
          <w:rFonts w:ascii="Times New Roman" w:hAnsi="Times New Roman" w:cs="Times New Roman"/>
          <w:sz w:val="26"/>
          <w:szCs w:val="26"/>
        </w:rPr>
      </w:pPr>
    </w:p>
    <w:p w:rsidR="00EE4522" w:rsidRDefault="00EE4522" w:rsidP="00B55B7E">
      <w:pPr>
        <w:spacing w:after="120" w:line="240" w:lineRule="auto"/>
        <w:ind w:firstLine="709"/>
        <w:jc w:val="both"/>
        <w:rPr>
          <w:rFonts w:ascii="Times New Roman" w:hAnsi="Times New Roman" w:cs="Times New Roman"/>
          <w:sz w:val="26"/>
          <w:szCs w:val="26"/>
        </w:rPr>
      </w:pPr>
    </w:p>
    <w:p w:rsidR="00EE4522" w:rsidRDefault="00EE4522" w:rsidP="00B55B7E">
      <w:pPr>
        <w:spacing w:after="120" w:line="240" w:lineRule="auto"/>
        <w:ind w:firstLine="709"/>
        <w:jc w:val="both"/>
        <w:rPr>
          <w:rFonts w:ascii="Times New Roman" w:hAnsi="Times New Roman" w:cs="Times New Roman"/>
          <w:sz w:val="26"/>
          <w:szCs w:val="26"/>
        </w:rPr>
      </w:pPr>
    </w:p>
    <w:p w:rsidR="00EE4522" w:rsidRDefault="00EE4522" w:rsidP="00A44E5D">
      <w:pPr>
        <w:ind w:firstLine="709"/>
        <w:jc w:val="both"/>
        <w:rPr>
          <w:rFonts w:ascii="Times New Roman" w:hAnsi="Times New Roman" w:cs="Times New Roman"/>
          <w:sz w:val="26"/>
          <w:szCs w:val="26"/>
        </w:rPr>
      </w:pPr>
    </w:p>
    <w:p w:rsidR="00A44E5D" w:rsidRDefault="00A44E5D" w:rsidP="00EE4522">
      <w:pPr>
        <w:pStyle w:val="1"/>
        <w:rPr>
          <w:rFonts w:ascii="Times New Roman" w:hAnsi="Times New Roman" w:cs="Times New Roman"/>
          <w:color w:val="1F497D" w:themeColor="text2"/>
        </w:rPr>
      </w:pPr>
      <w:bookmarkStart w:id="195" w:name="_Toc431474320"/>
      <w:r w:rsidRPr="00EE4522">
        <w:rPr>
          <w:rFonts w:ascii="Times New Roman" w:hAnsi="Times New Roman" w:cs="Times New Roman"/>
          <w:color w:val="1F497D" w:themeColor="text2"/>
        </w:rPr>
        <w:lastRenderedPageBreak/>
        <w:t>Рыночные позиции нефтедобывающих стран</w:t>
      </w:r>
      <w:bookmarkEnd w:id="195"/>
    </w:p>
    <w:p w:rsidR="00EE4522" w:rsidRPr="00EE4522" w:rsidRDefault="00EE4522" w:rsidP="00EE4522">
      <w:pPr>
        <w:spacing w:after="120" w:line="240" w:lineRule="auto"/>
      </w:pPr>
    </w:p>
    <w:p w:rsidR="00A44E5D" w:rsidRPr="00A44E5D" w:rsidRDefault="00A44E5D" w:rsidP="00EE4522">
      <w:pPr>
        <w:spacing w:after="120" w:line="240" w:lineRule="auto"/>
        <w:ind w:firstLine="709"/>
        <w:jc w:val="both"/>
        <w:rPr>
          <w:rFonts w:ascii="Times New Roman" w:eastAsia="MS Mincho" w:hAnsi="Times New Roman" w:cs="Times New Roman"/>
          <w:sz w:val="26"/>
          <w:szCs w:val="26"/>
        </w:rPr>
      </w:pPr>
      <w:r w:rsidRPr="00A44E5D">
        <w:rPr>
          <w:rFonts w:ascii="Times New Roman" w:eastAsia="MS Mincho" w:hAnsi="Times New Roman" w:cs="Times New Roman"/>
          <w:sz w:val="26"/>
          <w:szCs w:val="26"/>
        </w:rPr>
        <w:t>Россия является одной из крупнейших нефтедобывающих держав, обеспечивая вместе с США и Саудовской Аравией 38% мировой добычи нефти (на 15 крупнейших добывающих стран приходится почти 80% добычи). При этом нефтедобывающие страны обладают различными условиями добычи, обеспеченностью запасами, емкостью внутреннего спроса и т.п. Поэтому естественным являются и различия в налогообложении, оказывающие влияющие на конкурентоспособность производителей.</w:t>
      </w:r>
    </w:p>
    <w:p w:rsidR="00A44E5D" w:rsidRPr="00A44E5D" w:rsidRDefault="00A44E5D" w:rsidP="00EE4522">
      <w:pPr>
        <w:spacing w:after="120" w:line="240" w:lineRule="auto"/>
        <w:ind w:firstLine="709"/>
        <w:jc w:val="both"/>
        <w:rPr>
          <w:rFonts w:ascii="Times New Roman" w:eastAsia="MS Mincho" w:hAnsi="Times New Roman" w:cs="Times New Roman"/>
          <w:sz w:val="26"/>
          <w:szCs w:val="26"/>
        </w:rPr>
      </w:pPr>
      <w:r w:rsidRPr="00A44E5D">
        <w:rPr>
          <w:rFonts w:ascii="Times New Roman" w:eastAsia="MS Mincho" w:hAnsi="Times New Roman" w:cs="Times New Roman"/>
          <w:sz w:val="26"/>
          <w:szCs w:val="26"/>
        </w:rPr>
        <w:t xml:space="preserve">Среди лидеров по нефтедобыче три страны являются нетто-импортерами нефти (США, Бразилия и Китай), что должно предполагать достаточно острую конкуренцию между импортерами нефти и местными добывающими компаниями, и заметные налоговые стимулы </w:t>
      </w:r>
      <w:proofErr w:type="gramStart"/>
      <w:r w:rsidRPr="00A44E5D">
        <w:rPr>
          <w:rFonts w:ascii="Times New Roman" w:eastAsia="MS Mincho" w:hAnsi="Times New Roman" w:cs="Times New Roman"/>
          <w:sz w:val="26"/>
          <w:szCs w:val="26"/>
        </w:rPr>
        <w:t>для</w:t>
      </w:r>
      <w:proofErr w:type="gramEnd"/>
      <w:r w:rsidRPr="00A44E5D">
        <w:rPr>
          <w:rFonts w:ascii="Times New Roman" w:eastAsia="MS Mincho" w:hAnsi="Times New Roman" w:cs="Times New Roman"/>
          <w:sz w:val="26"/>
          <w:szCs w:val="26"/>
        </w:rPr>
        <w:t xml:space="preserve"> последних. Общей чертой этих стран является низкая обеспеченность запасами нефти (от 11 лет в США до 19 лет в Бразилии). </w:t>
      </w:r>
    </w:p>
    <w:p w:rsidR="00A44E5D" w:rsidRPr="00A44E5D" w:rsidRDefault="00A44E5D" w:rsidP="00EE4522">
      <w:pPr>
        <w:spacing w:after="120" w:line="240" w:lineRule="auto"/>
        <w:ind w:firstLine="709"/>
        <w:jc w:val="both"/>
        <w:rPr>
          <w:rFonts w:ascii="Times New Roman" w:eastAsia="MS Mincho" w:hAnsi="Times New Roman" w:cs="Times New Roman"/>
          <w:sz w:val="26"/>
          <w:szCs w:val="26"/>
        </w:rPr>
      </w:pPr>
      <w:r w:rsidRPr="00A44E5D">
        <w:rPr>
          <w:rFonts w:ascii="Times New Roman" w:eastAsia="MS Mincho" w:hAnsi="Times New Roman" w:cs="Times New Roman"/>
          <w:sz w:val="26"/>
          <w:szCs w:val="26"/>
        </w:rPr>
        <w:t>Среди стран нетто-экспортеров, впрочем, тоже далеко не все специализируются на нефтяном бизнесе. Например, в Мексике и Канаде нефтегазовые доходы составляют от совокупного объема экспорта всего 11% и 25% соответственно. Максимальная специализация отмечается у Ирака, Кувейта, Венесуэлы, Катара, Саудовской Аравии - доля нефти, нефтепродуктов и газа в структуре экспорта составляет от 85 до 99%. Средний уровень нефтегазовой специализации у России, ОАЭ, Ирана, Норвегии (от 64% до 77%).</w:t>
      </w:r>
    </w:p>
    <w:p w:rsidR="00A44E5D" w:rsidRPr="00EE4522" w:rsidRDefault="00A44E5D" w:rsidP="00EE4522">
      <w:pPr>
        <w:spacing w:after="120" w:line="240" w:lineRule="auto"/>
        <w:ind w:firstLine="709"/>
        <w:jc w:val="both"/>
        <w:rPr>
          <w:rFonts w:ascii="Times New Roman" w:eastAsia="MS Mincho" w:hAnsi="Times New Roman" w:cs="Times New Roman"/>
          <w:sz w:val="26"/>
          <w:szCs w:val="26"/>
        </w:rPr>
      </w:pPr>
      <w:r w:rsidRPr="00A44E5D">
        <w:rPr>
          <w:rFonts w:ascii="Times New Roman" w:eastAsia="MS Mincho" w:hAnsi="Times New Roman" w:cs="Times New Roman"/>
          <w:sz w:val="26"/>
          <w:szCs w:val="26"/>
        </w:rPr>
        <w:t>Среди прочих участников нефтяного рынка интересен также опыт Великобритании, которая сегодня обеспечивает менее половины собственных потребностей, в то время как еще недавно - в 1980-2005 гг. являлась нетто-экспортером нефти, а также Казахстан, который, наоборот, сумел в последние годы кратно увеличить</w:t>
      </w:r>
      <w:r w:rsidR="00EE4522">
        <w:rPr>
          <w:rFonts w:ascii="Times New Roman" w:eastAsia="MS Mincho" w:hAnsi="Times New Roman" w:cs="Times New Roman"/>
          <w:sz w:val="26"/>
          <w:szCs w:val="26"/>
        </w:rPr>
        <w:t xml:space="preserve"> объемы запасов и добычи нефти.</w:t>
      </w:r>
    </w:p>
    <w:tbl>
      <w:tblPr>
        <w:tblW w:w="9996" w:type="dxa"/>
        <w:tblLayout w:type="fixed"/>
        <w:tblLook w:val="04A0" w:firstRow="1" w:lastRow="0" w:firstColumn="1" w:lastColumn="0" w:noHBand="0" w:noVBand="1"/>
      </w:tblPr>
      <w:tblGrid>
        <w:gridCol w:w="5353"/>
        <w:gridCol w:w="4643"/>
      </w:tblGrid>
      <w:tr w:rsidR="00A44E5D" w:rsidRPr="00A44E5D" w:rsidTr="00A44E5D">
        <w:tc>
          <w:tcPr>
            <w:tcW w:w="5353" w:type="dxa"/>
          </w:tcPr>
          <w:p w:rsidR="00A44E5D" w:rsidRPr="00A44E5D" w:rsidRDefault="00A44E5D" w:rsidP="00A44E5D">
            <w:pPr>
              <w:spacing w:after="120" w:line="240" w:lineRule="auto"/>
              <w:ind w:firstLine="360"/>
              <w:rPr>
                <w:rFonts w:ascii="Calibri" w:eastAsia="MS Mincho" w:hAnsi="Calibri" w:cs="Times New Roman"/>
                <w:b/>
                <w:i/>
                <w:sz w:val="18"/>
                <w:szCs w:val="18"/>
              </w:rPr>
            </w:pPr>
            <w:r w:rsidRPr="00A44E5D">
              <w:rPr>
                <w:rFonts w:ascii="Calibri" w:eastAsia="MS Mincho" w:hAnsi="Calibri" w:cs="Times New Roman"/>
                <w:b/>
                <w:i/>
                <w:sz w:val="18"/>
                <w:szCs w:val="18"/>
              </w:rPr>
              <w:t>Основные характеристики ведущих нефтедобывающих стран</w:t>
            </w:r>
          </w:p>
        </w:tc>
        <w:tc>
          <w:tcPr>
            <w:tcW w:w="4643" w:type="dxa"/>
          </w:tcPr>
          <w:p w:rsidR="00A44E5D" w:rsidRPr="00A44E5D" w:rsidRDefault="00A44E5D" w:rsidP="00A44E5D">
            <w:pPr>
              <w:spacing w:after="120" w:line="240" w:lineRule="auto"/>
              <w:ind w:firstLine="360"/>
              <w:jc w:val="right"/>
              <w:rPr>
                <w:rFonts w:ascii="Calibri" w:eastAsia="MS Mincho" w:hAnsi="Calibri" w:cs="Times New Roman"/>
                <w:b/>
                <w:i/>
                <w:sz w:val="18"/>
                <w:szCs w:val="18"/>
              </w:rPr>
            </w:pPr>
            <w:r w:rsidRPr="00A44E5D">
              <w:rPr>
                <w:rFonts w:ascii="Calibri" w:eastAsia="MS Mincho" w:hAnsi="Calibri" w:cs="Times New Roman"/>
                <w:b/>
                <w:i/>
                <w:sz w:val="18"/>
                <w:szCs w:val="18"/>
              </w:rPr>
              <w:t>Вклад нефтегазового сектора в экспорте отдельных стран, % от общего экспорта</w:t>
            </w:r>
          </w:p>
        </w:tc>
      </w:tr>
      <w:tr w:rsidR="00A44E5D" w:rsidRPr="00A44E5D" w:rsidTr="00A44E5D">
        <w:tc>
          <w:tcPr>
            <w:tcW w:w="5353" w:type="dxa"/>
          </w:tcPr>
          <w:tbl>
            <w:tblPr>
              <w:tblStyle w:val="-12"/>
              <w:tblW w:w="4768" w:type="pct"/>
              <w:tblLayout w:type="fixed"/>
              <w:tblLook w:val="04A0" w:firstRow="1" w:lastRow="0" w:firstColumn="1" w:lastColumn="0" w:noHBand="0" w:noVBand="1"/>
            </w:tblPr>
            <w:tblGrid>
              <w:gridCol w:w="1135"/>
              <w:gridCol w:w="997"/>
              <w:gridCol w:w="1286"/>
              <w:gridCol w:w="1481"/>
            </w:tblGrid>
            <w:tr w:rsidR="00A44E5D" w:rsidRPr="00A44E5D" w:rsidTr="00EE4522">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157" w:type="pct"/>
                  <w:noWrap/>
                  <w:hideMark/>
                </w:tcPr>
                <w:p w:rsidR="00A44E5D" w:rsidRPr="00A44E5D" w:rsidRDefault="00A44E5D" w:rsidP="00A44E5D">
                  <w:pPr>
                    <w:ind w:firstLine="360"/>
                    <w:rPr>
                      <w:rFonts w:ascii="Times New Roman" w:eastAsia="Times New Roman" w:hAnsi="Times New Roman" w:cs="Times New Roman"/>
                      <w:color w:val="000000"/>
                      <w:sz w:val="18"/>
                      <w:szCs w:val="18"/>
                    </w:rPr>
                  </w:pPr>
                </w:p>
              </w:tc>
              <w:tc>
                <w:tcPr>
                  <w:tcW w:w="1018" w:type="pct"/>
                  <w:noWrap/>
                  <w:hideMark/>
                </w:tcPr>
                <w:p w:rsidR="00A44E5D" w:rsidRPr="00A44E5D" w:rsidRDefault="00A44E5D" w:rsidP="00A44E5D">
                  <w:pPr>
                    <w:ind w:firstLine="3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 xml:space="preserve">запасы, млрд. </w:t>
                  </w:r>
                  <w:proofErr w:type="spellStart"/>
                  <w:r w:rsidRPr="00A44E5D">
                    <w:rPr>
                      <w:rFonts w:ascii="Times New Roman" w:eastAsia="Times New Roman" w:hAnsi="Times New Roman" w:cs="Times New Roman"/>
                      <w:color w:val="000000"/>
                      <w:sz w:val="18"/>
                      <w:szCs w:val="18"/>
                    </w:rPr>
                    <w:t>барр</w:t>
                  </w:r>
                  <w:proofErr w:type="spellEnd"/>
                  <w:r w:rsidRPr="00A44E5D">
                    <w:rPr>
                      <w:rFonts w:ascii="Times New Roman" w:eastAsia="Times New Roman" w:hAnsi="Times New Roman" w:cs="Times New Roman"/>
                      <w:color w:val="000000"/>
                      <w:sz w:val="18"/>
                      <w:szCs w:val="18"/>
                    </w:rPr>
                    <w:t>.</w:t>
                  </w:r>
                </w:p>
              </w:tc>
              <w:tc>
                <w:tcPr>
                  <w:tcW w:w="1313" w:type="pct"/>
                  <w:noWrap/>
                  <w:hideMark/>
                </w:tcPr>
                <w:p w:rsidR="00A44E5D" w:rsidRPr="00A44E5D" w:rsidRDefault="00A44E5D" w:rsidP="00A44E5D">
                  <w:pPr>
                    <w:ind w:firstLine="3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 xml:space="preserve">добыча, тыс. </w:t>
                  </w:r>
                  <w:proofErr w:type="spellStart"/>
                  <w:r w:rsidRPr="00A44E5D">
                    <w:rPr>
                      <w:rFonts w:ascii="Times New Roman" w:eastAsia="Times New Roman" w:hAnsi="Times New Roman" w:cs="Times New Roman"/>
                      <w:color w:val="000000"/>
                      <w:sz w:val="18"/>
                      <w:szCs w:val="18"/>
                    </w:rPr>
                    <w:t>барр</w:t>
                  </w:r>
                  <w:proofErr w:type="spellEnd"/>
                  <w:r w:rsidRPr="00A44E5D">
                    <w:rPr>
                      <w:rFonts w:ascii="Times New Roman" w:eastAsia="Times New Roman" w:hAnsi="Times New Roman" w:cs="Times New Roman"/>
                      <w:color w:val="000000"/>
                      <w:sz w:val="18"/>
                      <w:szCs w:val="18"/>
                    </w:rPr>
                    <w:t>. в день</w:t>
                  </w:r>
                </w:p>
              </w:tc>
              <w:tc>
                <w:tcPr>
                  <w:tcW w:w="1513" w:type="pct"/>
                  <w:noWrap/>
                  <w:hideMark/>
                </w:tcPr>
                <w:p w:rsidR="00A44E5D" w:rsidRPr="00A44E5D" w:rsidRDefault="00A44E5D" w:rsidP="00A44E5D">
                  <w:pPr>
                    <w:ind w:firstLine="3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обеспеченность запасами, лет</w:t>
                  </w:r>
                </w:p>
              </w:tc>
            </w:tr>
            <w:tr w:rsidR="00A44E5D" w:rsidRPr="00A44E5D" w:rsidTr="00EE452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157" w:type="pct"/>
                  <w:noWrap/>
                  <w:hideMark/>
                </w:tcPr>
                <w:p w:rsidR="00A44E5D" w:rsidRPr="00A44E5D" w:rsidRDefault="00A44E5D" w:rsidP="00EE4522">
                  <w:pPr>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США</w:t>
                  </w:r>
                </w:p>
              </w:tc>
              <w:tc>
                <w:tcPr>
                  <w:tcW w:w="1018" w:type="pct"/>
                  <w:noWrap/>
                  <w:hideMark/>
                </w:tcPr>
                <w:p w:rsidR="00A44E5D" w:rsidRPr="00A44E5D" w:rsidRDefault="00A44E5D" w:rsidP="00A44E5D">
                  <w:pPr>
                    <w:ind w:firstLine="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48</w:t>
                  </w:r>
                </w:p>
              </w:tc>
              <w:tc>
                <w:tcPr>
                  <w:tcW w:w="1313" w:type="pct"/>
                  <w:noWrap/>
                  <w:hideMark/>
                </w:tcPr>
                <w:p w:rsidR="00A44E5D" w:rsidRPr="00A44E5D" w:rsidRDefault="00A44E5D" w:rsidP="00A44E5D">
                  <w:pPr>
                    <w:ind w:firstLine="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11644</w:t>
                  </w:r>
                </w:p>
              </w:tc>
              <w:tc>
                <w:tcPr>
                  <w:tcW w:w="1513" w:type="pct"/>
                  <w:noWrap/>
                  <w:hideMark/>
                </w:tcPr>
                <w:p w:rsidR="00A44E5D" w:rsidRPr="00A44E5D" w:rsidRDefault="00A44E5D" w:rsidP="00A44E5D">
                  <w:pPr>
                    <w:ind w:firstLine="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11</w:t>
                  </w:r>
                </w:p>
              </w:tc>
            </w:tr>
            <w:tr w:rsidR="00A44E5D" w:rsidRPr="00A44E5D" w:rsidTr="00EE4522">
              <w:trPr>
                <w:trHeight w:val="264"/>
              </w:trPr>
              <w:tc>
                <w:tcPr>
                  <w:cnfStyle w:val="001000000000" w:firstRow="0" w:lastRow="0" w:firstColumn="1" w:lastColumn="0" w:oddVBand="0" w:evenVBand="0" w:oddHBand="0" w:evenHBand="0" w:firstRowFirstColumn="0" w:firstRowLastColumn="0" w:lastRowFirstColumn="0" w:lastRowLastColumn="0"/>
                  <w:tcW w:w="1157" w:type="pct"/>
                  <w:noWrap/>
                  <w:hideMark/>
                </w:tcPr>
                <w:p w:rsidR="00A44E5D" w:rsidRPr="00A44E5D" w:rsidRDefault="00EE4522" w:rsidP="00EE452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С. </w:t>
                  </w:r>
                  <w:r w:rsidR="00A44E5D" w:rsidRPr="00A44E5D">
                    <w:rPr>
                      <w:rFonts w:ascii="Times New Roman" w:eastAsia="Times New Roman" w:hAnsi="Times New Roman" w:cs="Times New Roman"/>
                      <w:color w:val="000000"/>
                      <w:sz w:val="18"/>
                      <w:szCs w:val="18"/>
                    </w:rPr>
                    <w:t>Аравия</w:t>
                  </w:r>
                </w:p>
              </w:tc>
              <w:tc>
                <w:tcPr>
                  <w:tcW w:w="1018" w:type="pct"/>
                  <w:noWrap/>
                  <w:hideMark/>
                </w:tcPr>
                <w:p w:rsidR="00A44E5D" w:rsidRPr="00A44E5D" w:rsidRDefault="00A44E5D" w:rsidP="00A44E5D">
                  <w:pPr>
                    <w:ind w:firstLine="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267</w:t>
                  </w:r>
                </w:p>
              </w:tc>
              <w:tc>
                <w:tcPr>
                  <w:tcW w:w="1313" w:type="pct"/>
                  <w:noWrap/>
                  <w:hideMark/>
                </w:tcPr>
                <w:p w:rsidR="00A44E5D" w:rsidRPr="00A44E5D" w:rsidRDefault="00A44E5D" w:rsidP="00A44E5D">
                  <w:pPr>
                    <w:ind w:firstLine="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11505</w:t>
                  </w:r>
                </w:p>
              </w:tc>
              <w:tc>
                <w:tcPr>
                  <w:tcW w:w="1513" w:type="pct"/>
                  <w:noWrap/>
                  <w:hideMark/>
                </w:tcPr>
                <w:p w:rsidR="00A44E5D" w:rsidRPr="00A44E5D" w:rsidRDefault="00A44E5D" w:rsidP="00A44E5D">
                  <w:pPr>
                    <w:ind w:firstLine="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64</w:t>
                  </w:r>
                </w:p>
              </w:tc>
            </w:tr>
            <w:tr w:rsidR="00A44E5D" w:rsidRPr="00A44E5D" w:rsidTr="00EE452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157" w:type="pct"/>
                  <w:noWrap/>
                  <w:hideMark/>
                </w:tcPr>
                <w:p w:rsidR="00A44E5D" w:rsidRPr="00A44E5D" w:rsidRDefault="00A44E5D" w:rsidP="00EE4522">
                  <w:pPr>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Россия</w:t>
                  </w:r>
                </w:p>
              </w:tc>
              <w:tc>
                <w:tcPr>
                  <w:tcW w:w="1018" w:type="pct"/>
                  <w:noWrap/>
                  <w:hideMark/>
                </w:tcPr>
                <w:p w:rsidR="00A44E5D" w:rsidRPr="00A44E5D" w:rsidRDefault="00A44E5D" w:rsidP="00A44E5D">
                  <w:pPr>
                    <w:ind w:firstLine="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103</w:t>
                  </w:r>
                </w:p>
              </w:tc>
              <w:tc>
                <w:tcPr>
                  <w:tcW w:w="1313" w:type="pct"/>
                  <w:noWrap/>
                  <w:hideMark/>
                </w:tcPr>
                <w:p w:rsidR="00A44E5D" w:rsidRPr="00A44E5D" w:rsidRDefault="00A44E5D" w:rsidP="00A44E5D">
                  <w:pPr>
                    <w:ind w:firstLine="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10838</w:t>
                  </w:r>
                </w:p>
              </w:tc>
              <w:tc>
                <w:tcPr>
                  <w:tcW w:w="1513" w:type="pct"/>
                  <w:noWrap/>
                  <w:hideMark/>
                </w:tcPr>
                <w:p w:rsidR="00A44E5D" w:rsidRPr="00A44E5D" w:rsidRDefault="00A44E5D" w:rsidP="00A44E5D">
                  <w:pPr>
                    <w:ind w:firstLine="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26</w:t>
                  </w:r>
                </w:p>
              </w:tc>
            </w:tr>
            <w:tr w:rsidR="00A44E5D" w:rsidRPr="00A44E5D" w:rsidTr="00EE4522">
              <w:trPr>
                <w:trHeight w:val="264"/>
              </w:trPr>
              <w:tc>
                <w:tcPr>
                  <w:cnfStyle w:val="001000000000" w:firstRow="0" w:lastRow="0" w:firstColumn="1" w:lastColumn="0" w:oddVBand="0" w:evenVBand="0" w:oddHBand="0" w:evenHBand="0" w:firstRowFirstColumn="0" w:firstRowLastColumn="0" w:lastRowFirstColumn="0" w:lastRowLastColumn="0"/>
                  <w:tcW w:w="1157" w:type="pct"/>
                  <w:noWrap/>
                  <w:hideMark/>
                </w:tcPr>
                <w:p w:rsidR="00A44E5D" w:rsidRPr="00A44E5D" w:rsidRDefault="00A44E5D" w:rsidP="00EE4522">
                  <w:pPr>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Канада</w:t>
                  </w:r>
                </w:p>
              </w:tc>
              <w:tc>
                <w:tcPr>
                  <w:tcW w:w="1018" w:type="pct"/>
                  <w:noWrap/>
                  <w:hideMark/>
                </w:tcPr>
                <w:p w:rsidR="00A44E5D" w:rsidRPr="00A44E5D" w:rsidRDefault="00A44E5D" w:rsidP="00A44E5D">
                  <w:pPr>
                    <w:ind w:firstLine="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173</w:t>
                  </w:r>
                </w:p>
              </w:tc>
              <w:tc>
                <w:tcPr>
                  <w:tcW w:w="1313" w:type="pct"/>
                  <w:noWrap/>
                  <w:hideMark/>
                </w:tcPr>
                <w:p w:rsidR="00A44E5D" w:rsidRPr="00A44E5D" w:rsidRDefault="00A44E5D" w:rsidP="00A44E5D">
                  <w:pPr>
                    <w:ind w:firstLine="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4292</w:t>
                  </w:r>
                </w:p>
              </w:tc>
              <w:tc>
                <w:tcPr>
                  <w:tcW w:w="1513" w:type="pct"/>
                  <w:noWrap/>
                  <w:hideMark/>
                </w:tcPr>
                <w:p w:rsidR="00A44E5D" w:rsidRPr="00A44E5D" w:rsidRDefault="00A44E5D" w:rsidP="00A44E5D">
                  <w:pPr>
                    <w:ind w:firstLine="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110</w:t>
                  </w:r>
                </w:p>
              </w:tc>
            </w:tr>
            <w:tr w:rsidR="00A44E5D" w:rsidRPr="00A44E5D" w:rsidTr="00EE452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157" w:type="pct"/>
                  <w:noWrap/>
                  <w:hideMark/>
                </w:tcPr>
                <w:p w:rsidR="00A44E5D" w:rsidRPr="00A44E5D" w:rsidRDefault="00A44E5D" w:rsidP="00EE4522">
                  <w:pPr>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Китай</w:t>
                  </w:r>
                </w:p>
              </w:tc>
              <w:tc>
                <w:tcPr>
                  <w:tcW w:w="1018" w:type="pct"/>
                  <w:noWrap/>
                  <w:hideMark/>
                </w:tcPr>
                <w:p w:rsidR="00A44E5D" w:rsidRPr="00A44E5D" w:rsidRDefault="00A44E5D" w:rsidP="00A44E5D">
                  <w:pPr>
                    <w:ind w:firstLine="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18</w:t>
                  </w:r>
                </w:p>
              </w:tc>
              <w:tc>
                <w:tcPr>
                  <w:tcW w:w="1313" w:type="pct"/>
                  <w:noWrap/>
                  <w:hideMark/>
                </w:tcPr>
                <w:p w:rsidR="00A44E5D" w:rsidRPr="00A44E5D" w:rsidRDefault="00A44E5D" w:rsidP="00A44E5D">
                  <w:pPr>
                    <w:ind w:firstLine="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4246</w:t>
                  </w:r>
                </w:p>
              </w:tc>
              <w:tc>
                <w:tcPr>
                  <w:tcW w:w="1513" w:type="pct"/>
                  <w:noWrap/>
                  <w:hideMark/>
                </w:tcPr>
                <w:p w:rsidR="00A44E5D" w:rsidRPr="00A44E5D" w:rsidRDefault="00A44E5D" w:rsidP="00A44E5D">
                  <w:pPr>
                    <w:ind w:firstLine="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12</w:t>
                  </w:r>
                </w:p>
              </w:tc>
            </w:tr>
            <w:tr w:rsidR="00A44E5D" w:rsidRPr="00A44E5D" w:rsidTr="00EE4522">
              <w:trPr>
                <w:trHeight w:val="264"/>
              </w:trPr>
              <w:tc>
                <w:tcPr>
                  <w:cnfStyle w:val="001000000000" w:firstRow="0" w:lastRow="0" w:firstColumn="1" w:lastColumn="0" w:oddVBand="0" w:evenVBand="0" w:oddHBand="0" w:evenHBand="0" w:firstRowFirstColumn="0" w:firstRowLastColumn="0" w:lastRowFirstColumn="0" w:lastRowLastColumn="0"/>
                  <w:tcW w:w="1157" w:type="pct"/>
                  <w:noWrap/>
                  <w:hideMark/>
                </w:tcPr>
                <w:p w:rsidR="00A44E5D" w:rsidRPr="00A44E5D" w:rsidRDefault="00A44E5D" w:rsidP="00EE4522">
                  <w:pPr>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ОАЭ</w:t>
                  </w:r>
                </w:p>
              </w:tc>
              <w:tc>
                <w:tcPr>
                  <w:tcW w:w="1018" w:type="pct"/>
                  <w:noWrap/>
                  <w:hideMark/>
                </w:tcPr>
                <w:p w:rsidR="00A44E5D" w:rsidRPr="00A44E5D" w:rsidRDefault="00A44E5D" w:rsidP="00A44E5D">
                  <w:pPr>
                    <w:ind w:firstLine="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98</w:t>
                  </w:r>
                </w:p>
              </w:tc>
              <w:tc>
                <w:tcPr>
                  <w:tcW w:w="1313" w:type="pct"/>
                  <w:noWrap/>
                  <w:hideMark/>
                </w:tcPr>
                <w:p w:rsidR="00A44E5D" w:rsidRPr="00A44E5D" w:rsidRDefault="00A44E5D" w:rsidP="00A44E5D">
                  <w:pPr>
                    <w:ind w:firstLine="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3712</w:t>
                  </w:r>
                </w:p>
              </w:tc>
              <w:tc>
                <w:tcPr>
                  <w:tcW w:w="1513" w:type="pct"/>
                  <w:noWrap/>
                  <w:hideMark/>
                </w:tcPr>
                <w:p w:rsidR="00A44E5D" w:rsidRPr="00A44E5D" w:rsidRDefault="00A44E5D" w:rsidP="00A44E5D">
                  <w:pPr>
                    <w:ind w:firstLine="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72</w:t>
                  </w:r>
                </w:p>
              </w:tc>
            </w:tr>
            <w:tr w:rsidR="00A44E5D" w:rsidRPr="00A44E5D" w:rsidTr="00EE452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157" w:type="pct"/>
                  <w:noWrap/>
                  <w:hideMark/>
                </w:tcPr>
                <w:p w:rsidR="00A44E5D" w:rsidRPr="00A44E5D" w:rsidRDefault="00A44E5D" w:rsidP="00EE4522">
                  <w:pPr>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Иран</w:t>
                  </w:r>
                </w:p>
              </w:tc>
              <w:tc>
                <w:tcPr>
                  <w:tcW w:w="1018" w:type="pct"/>
                  <w:noWrap/>
                  <w:hideMark/>
                </w:tcPr>
                <w:p w:rsidR="00A44E5D" w:rsidRPr="00A44E5D" w:rsidRDefault="00A44E5D" w:rsidP="00A44E5D">
                  <w:pPr>
                    <w:ind w:firstLine="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158</w:t>
                  </w:r>
                </w:p>
              </w:tc>
              <w:tc>
                <w:tcPr>
                  <w:tcW w:w="1313" w:type="pct"/>
                  <w:noWrap/>
                  <w:hideMark/>
                </w:tcPr>
                <w:p w:rsidR="00A44E5D" w:rsidRPr="00A44E5D" w:rsidRDefault="00A44E5D" w:rsidP="00A44E5D">
                  <w:pPr>
                    <w:ind w:firstLine="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3614</w:t>
                  </w:r>
                </w:p>
              </w:tc>
              <w:tc>
                <w:tcPr>
                  <w:tcW w:w="1513" w:type="pct"/>
                  <w:noWrap/>
                  <w:hideMark/>
                </w:tcPr>
                <w:p w:rsidR="00A44E5D" w:rsidRPr="00A44E5D" w:rsidRDefault="00A44E5D" w:rsidP="00A44E5D">
                  <w:pPr>
                    <w:ind w:firstLine="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120</w:t>
                  </w:r>
                </w:p>
              </w:tc>
            </w:tr>
            <w:tr w:rsidR="00A44E5D" w:rsidRPr="00A44E5D" w:rsidTr="00EE4522">
              <w:trPr>
                <w:trHeight w:val="264"/>
              </w:trPr>
              <w:tc>
                <w:tcPr>
                  <w:cnfStyle w:val="001000000000" w:firstRow="0" w:lastRow="0" w:firstColumn="1" w:lastColumn="0" w:oddVBand="0" w:evenVBand="0" w:oddHBand="0" w:evenHBand="0" w:firstRowFirstColumn="0" w:firstRowLastColumn="0" w:lastRowFirstColumn="0" w:lastRowLastColumn="0"/>
                  <w:tcW w:w="1157" w:type="pct"/>
                  <w:noWrap/>
                  <w:hideMark/>
                </w:tcPr>
                <w:p w:rsidR="00A44E5D" w:rsidRPr="00A44E5D" w:rsidRDefault="00A44E5D" w:rsidP="00EE4522">
                  <w:pPr>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Ирак</w:t>
                  </w:r>
                </w:p>
              </w:tc>
              <w:tc>
                <w:tcPr>
                  <w:tcW w:w="1018" w:type="pct"/>
                  <w:noWrap/>
                  <w:hideMark/>
                </w:tcPr>
                <w:p w:rsidR="00A44E5D" w:rsidRPr="00A44E5D" w:rsidRDefault="00A44E5D" w:rsidP="00A44E5D">
                  <w:pPr>
                    <w:ind w:firstLine="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150</w:t>
                  </w:r>
                </w:p>
              </w:tc>
              <w:tc>
                <w:tcPr>
                  <w:tcW w:w="1313" w:type="pct"/>
                  <w:noWrap/>
                  <w:hideMark/>
                </w:tcPr>
                <w:p w:rsidR="00A44E5D" w:rsidRPr="00A44E5D" w:rsidRDefault="00A44E5D" w:rsidP="00A44E5D">
                  <w:pPr>
                    <w:ind w:firstLine="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3285</w:t>
                  </w:r>
                </w:p>
              </w:tc>
              <w:tc>
                <w:tcPr>
                  <w:tcW w:w="1513" w:type="pct"/>
                  <w:noWrap/>
                  <w:hideMark/>
                </w:tcPr>
                <w:p w:rsidR="00A44E5D" w:rsidRPr="00A44E5D" w:rsidRDefault="00A44E5D" w:rsidP="00A44E5D">
                  <w:pPr>
                    <w:ind w:firstLine="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125</w:t>
                  </w:r>
                </w:p>
              </w:tc>
            </w:tr>
            <w:tr w:rsidR="00A44E5D" w:rsidRPr="00A44E5D" w:rsidTr="00EE452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157" w:type="pct"/>
                  <w:noWrap/>
                  <w:hideMark/>
                </w:tcPr>
                <w:p w:rsidR="00A44E5D" w:rsidRPr="00A44E5D" w:rsidRDefault="00A44E5D" w:rsidP="00EE4522">
                  <w:pPr>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Кувейт</w:t>
                  </w:r>
                </w:p>
              </w:tc>
              <w:tc>
                <w:tcPr>
                  <w:tcW w:w="1018" w:type="pct"/>
                  <w:noWrap/>
                  <w:hideMark/>
                </w:tcPr>
                <w:p w:rsidR="00A44E5D" w:rsidRPr="00A44E5D" w:rsidRDefault="00A44E5D" w:rsidP="00A44E5D">
                  <w:pPr>
                    <w:ind w:firstLine="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102</w:t>
                  </w:r>
                </w:p>
              </w:tc>
              <w:tc>
                <w:tcPr>
                  <w:tcW w:w="1313" w:type="pct"/>
                  <w:noWrap/>
                  <w:hideMark/>
                </w:tcPr>
                <w:p w:rsidR="00A44E5D" w:rsidRPr="00A44E5D" w:rsidRDefault="00A44E5D" w:rsidP="00A44E5D">
                  <w:pPr>
                    <w:ind w:firstLine="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3123</w:t>
                  </w:r>
                </w:p>
              </w:tc>
              <w:tc>
                <w:tcPr>
                  <w:tcW w:w="1513" w:type="pct"/>
                  <w:noWrap/>
                  <w:hideMark/>
                </w:tcPr>
                <w:p w:rsidR="00A44E5D" w:rsidRPr="00A44E5D" w:rsidRDefault="00A44E5D" w:rsidP="00A44E5D">
                  <w:pPr>
                    <w:ind w:firstLine="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89</w:t>
                  </w:r>
                </w:p>
              </w:tc>
            </w:tr>
            <w:tr w:rsidR="00A44E5D" w:rsidRPr="00A44E5D" w:rsidTr="00EE4522">
              <w:trPr>
                <w:trHeight w:val="264"/>
              </w:trPr>
              <w:tc>
                <w:tcPr>
                  <w:cnfStyle w:val="001000000000" w:firstRow="0" w:lastRow="0" w:firstColumn="1" w:lastColumn="0" w:oddVBand="0" w:evenVBand="0" w:oddHBand="0" w:evenHBand="0" w:firstRowFirstColumn="0" w:firstRowLastColumn="0" w:lastRowFirstColumn="0" w:lastRowLastColumn="0"/>
                  <w:tcW w:w="1157" w:type="pct"/>
                  <w:noWrap/>
                  <w:hideMark/>
                </w:tcPr>
                <w:p w:rsidR="00A44E5D" w:rsidRPr="00A44E5D" w:rsidRDefault="00A44E5D" w:rsidP="00EE4522">
                  <w:pPr>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Мексика</w:t>
                  </w:r>
                </w:p>
              </w:tc>
              <w:tc>
                <w:tcPr>
                  <w:tcW w:w="1018" w:type="pct"/>
                  <w:noWrap/>
                  <w:hideMark/>
                </w:tcPr>
                <w:p w:rsidR="00A44E5D" w:rsidRPr="00A44E5D" w:rsidRDefault="00A44E5D" w:rsidP="00A44E5D">
                  <w:pPr>
                    <w:ind w:firstLine="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11</w:t>
                  </w:r>
                </w:p>
              </w:tc>
              <w:tc>
                <w:tcPr>
                  <w:tcW w:w="1313" w:type="pct"/>
                  <w:noWrap/>
                  <w:hideMark/>
                </w:tcPr>
                <w:p w:rsidR="00A44E5D" w:rsidRPr="00A44E5D" w:rsidRDefault="00A44E5D" w:rsidP="00A44E5D">
                  <w:pPr>
                    <w:ind w:firstLine="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2784</w:t>
                  </w:r>
                </w:p>
              </w:tc>
              <w:tc>
                <w:tcPr>
                  <w:tcW w:w="1513" w:type="pct"/>
                  <w:noWrap/>
                  <w:hideMark/>
                </w:tcPr>
                <w:p w:rsidR="00A44E5D" w:rsidRPr="00A44E5D" w:rsidRDefault="00A44E5D" w:rsidP="00A44E5D">
                  <w:pPr>
                    <w:ind w:firstLine="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11</w:t>
                  </w:r>
                </w:p>
              </w:tc>
            </w:tr>
            <w:tr w:rsidR="00A44E5D" w:rsidRPr="00A44E5D" w:rsidTr="00EE452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157" w:type="pct"/>
                  <w:noWrap/>
                  <w:hideMark/>
                </w:tcPr>
                <w:p w:rsidR="00A44E5D" w:rsidRPr="00A44E5D" w:rsidRDefault="00A44E5D" w:rsidP="00EE4522">
                  <w:pPr>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Венесуэла</w:t>
                  </w:r>
                </w:p>
              </w:tc>
              <w:tc>
                <w:tcPr>
                  <w:tcW w:w="1018" w:type="pct"/>
                  <w:noWrap/>
                  <w:hideMark/>
                </w:tcPr>
                <w:p w:rsidR="00A44E5D" w:rsidRPr="00A44E5D" w:rsidRDefault="00A44E5D" w:rsidP="00A44E5D">
                  <w:pPr>
                    <w:ind w:firstLine="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298</w:t>
                  </w:r>
                </w:p>
              </w:tc>
              <w:tc>
                <w:tcPr>
                  <w:tcW w:w="1313" w:type="pct"/>
                  <w:noWrap/>
                  <w:hideMark/>
                </w:tcPr>
                <w:p w:rsidR="00A44E5D" w:rsidRPr="00A44E5D" w:rsidRDefault="00A44E5D" w:rsidP="00A44E5D">
                  <w:pPr>
                    <w:ind w:firstLine="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2719</w:t>
                  </w:r>
                </w:p>
              </w:tc>
              <w:tc>
                <w:tcPr>
                  <w:tcW w:w="1513" w:type="pct"/>
                  <w:noWrap/>
                  <w:hideMark/>
                </w:tcPr>
                <w:p w:rsidR="00A44E5D" w:rsidRPr="00A44E5D" w:rsidRDefault="00A44E5D" w:rsidP="00A44E5D">
                  <w:pPr>
                    <w:ind w:firstLine="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301</w:t>
                  </w:r>
                </w:p>
              </w:tc>
            </w:tr>
            <w:tr w:rsidR="00A44E5D" w:rsidRPr="00A44E5D" w:rsidTr="00EE4522">
              <w:trPr>
                <w:trHeight w:val="264"/>
              </w:trPr>
              <w:tc>
                <w:tcPr>
                  <w:cnfStyle w:val="001000000000" w:firstRow="0" w:lastRow="0" w:firstColumn="1" w:lastColumn="0" w:oddVBand="0" w:evenVBand="0" w:oddHBand="0" w:evenHBand="0" w:firstRowFirstColumn="0" w:firstRowLastColumn="0" w:lastRowFirstColumn="0" w:lastRowLastColumn="0"/>
                  <w:tcW w:w="1157" w:type="pct"/>
                  <w:noWrap/>
                  <w:hideMark/>
                </w:tcPr>
                <w:p w:rsidR="00A44E5D" w:rsidRPr="00A44E5D" w:rsidRDefault="00A44E5D" w:rsidP="00EE4522">
                  <w:pPr>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Нигерия</w:t>
                  </w:r>
                </w:p>
              </w:tc>
              <w:tc>
                <w:tcPr>
                  <w:tcW w:w="1018" w:type="pct"/>
                  <w:noWrap/>
                  <w:hideMark/>
                </w:tcPr>
                <w:p w:rsidR="00A44E5D" w:rsidRPr="00A44E5D" w:rsidRDefault="00A44E5D" w:rsidP="00A44E5D">
                  <w:pPr>
                    <w:ind w:firstLine="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37</w:t>
                  </w:r>
                </w:p>
              </w:tc>
              <w:tc>
                <w:tcPr>
                  <w:tcW w:w="1313" w:type="pct"/>
                  <w:noWrap/>
                  <w:hideMark/>
                </w:tcPr>
                <w:p w:rsidR="00A44E5D" w:rsidRPr="00A44E5D" w:rsidRDefault="00A44E5D" w:rsidP="00A44E5D">
                  <w:pPr>
                    <w:ind w:firstLine="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2361</w:t>
                  </w:r>
                </w:p>
              </w:tc>
              <w:tc>
                <w:tcPr>
                  <w:tcW w:w="1513" w:type="pct"/>
                  <w:noWrap/>
                  <w:hideMark/>
                </w:tcPr>
                <w:p w:rsidR="00A44E5D" w:rsidRPr="00A44E5D" w:rsidRDefault="00A44E5D" w:rsidP="00A44E5D">
                  <w:pPr>
                    <w:ind w:firstLine="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43</w:t>
                  </w:r>
                </w:p>
              </w:tc>
            </w:tr>
            <w:tr w:rsidR="00A44E5D" w:rsidRPr="00A44E5D" w:rsidTr="00EE452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157" w:type="pct"/>
                  <w:noWrap/>
                  <w:hideMark/>
                </w:tcPr>
                <w:p w:rsidR="00A44E5D" w:rsidRPr="00A44E5D" w:rsidRDefault="00A44E5D" w:rsidP="00EE4522">
                  <w:pPr>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Бразилия</w:t>
                  </w:r>
                </w:p>
              </w:tc>
              <w:tc>
                <w:tcPr>
                  <w:tcW w:w="1018" w:type="pct"/>
                  <w:noWrap/>
                  <w:hideMark/>
                </w:tcPr>
                <w:p w:rsidR="00A44E5D" w:rsidRPr="00A44E5D" w:rsidRDefault="00A44E5D" w:rsidP="00A44E5D">
                  <w:pPr>
                    <w:ind w:firstLine="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16</w:t>
                  </w:r>
                </w:p>
              </w:tc>
              <w:tc>
                <w:tcPr>
                  <w:tcW w:w="1313" w:type="pct"/>
                  <w:noWrap/>
                  <w:hideMark/>
                </w:tcPr>
                <w:p w:rsidR="00A44E5D" w:rsidRPr="00A44E5D" w:rsidRDefault="00A44E5D" w:rsidP="00A44E5D">
                  <w:pPr>
                    <w:ind w:firstLine="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2346</w:t>
                  </w:r>
                </w:p>
              </w:tc>
              <w:tc>
                <w:tcPr>
                  <w:tcW w:w="1513" w:type="pct"/>
                  <w:noWrap/>
                  <w:hideMark/>
                </w:tcPr>
                <w:p w:rsidR="00A44E5D" w:rsidRPr="00A44E5D" w:rsidRDefault="00A44E5D" w:rsidP="00A44E5D">
                  <w:pPr>
                    <w:ind w:firstLine="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19</w:t>
                  </w:r>
                </w:p>
              </w:tc>
            </w:tr>
            <w:tr w:rsidR="00A44E5D" w:rsidRPr="00A44E5D" w:rsidTr="00EE4522">
              <w:trPr>
                <w:trHeight w:val="264"/>
              </w:trPr>
              <w:tc>
                <w:tcPr>
                  <w:cnfStyle w:val="001000000000" w:firstRow="0" w:lastRow="0" w:firstColumn="1" w:lastColumn="0" w:oddVBand="0" w:evenVBand="0" w:oddHBand="0" w:evenHBand="0" w:firstRowFirstColumn="0" w:firstRowLastColumn="0" w:lastRowFirstColumn="0" w:lastRowLastColumn="0"/>
                  <w:tcW w:w="1157" w:type="pct"/>
                  <w:noWrap/>
                  <w:hideMark/>
                </w:tcPr>
                <w:p w:rsidR="00A44E5D" w:rsidRPr="00A44E5D" w:rsidRDefault="00A44E5D" w:rsidP="00EE4522">
                  <w:pPr>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Катар</w:t>
                  </w:r>
                </w:p>
              </w:tc>
              <w:tc>
                <w:tcPr>
                  <w:tcW w:w="1018" w:type="pct"/>
                  <w:noWrap/>
                  <w:hideMark/>
                </w:tcPr>
                <w:p w:rsidR="00A44E5D" w:rsidRPr="00A44E5D" w:rsidRDefault="00A44E5D" w:rsidP="00A44E5D">
                  <w:pPr>
                    <w:ind w:firstLine="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26</w:t>
                  </w:r>
                </w:p>
              </w:tc>
              <w:tc>
                <w:tcPr>
                  <w:tcW w:w="1313" w:type="pct"/>
                  <w:noWrap/>
                  <w:hideMark/>
                </w:tcPr>
                <w:p w:rsidR="00A44E5D" w:rsidRPr="00A44E5D" w:rsidRDefault="00A44E5D" w:rsidP="00A44E5D">
                  <w:pPr>
                    <w:ind w:firstLine="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1982</w:t>
                  </w:r>
                </w:p>
              </w:tc>
              <w:tc>
                <w:tcPr>
                  <w:tcW w:w="1513" w:type="pct"/>
                  <w:noWrap/>
                  <w:hideMark/>
                </w:tcPr>
                <w:p w:rsidR="00A44E5D" w:rsidRPr="00A44E5D" w:rsidRDefault="00A44E5D" w:rsidP="00A44E5D">
                  <w:pPr>
                    <w:ind w:firstLine="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36</w:t>
                  </w:r>
                </w:p>
              </w:tc>
            </w:tr>
            <w:tr w:rsidR="00A44E5D" w:rsidRPr="00A44E5D" w:rsidTr="00EE452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157" w:type="pct"/>
                  <w:noWrap/>
                  <w:hideMark/>
                </w:tcPr>
                <w:p w:rsidR="00A44E5D" w:rsidRPr="00A44E5D" w:rsidRDefault="00A44E5D" w:rsidP="00EE4522">
                  <w:pPr>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Норвегия</w:t>
                  </w:r>
                </w:p>
              </w:tc>
              <w:tc>
                <w:tcPr>
                  <w:tcW w:w="1018" w:type="pct"/>
                  <w:noWrap/>
                  <w:hideMark/>
                </w:tcPr>
                <w:p w:rsidR="00A44E5D" w:rsidRPr="00A44E5D" w:rsidRDefault="00A44E5D" w:rsidP="00A44E5D">
                  <w:pPr>
                    <w:ind w:firstLine="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7</w:t>
                  </w:r>
                </w:p>
              </w:tc>
              <w:tc>
                <w:tcPr>
                  <w:tcW w:w="1313" w:type="pct"/>
                  <w:noWrap/>
                  <w:hideMark/>
                </w:tcPr>
                <w:p w:rsidR="00A44E5D" w:rsidRPr="00A44E5D" w:rsidRDefault="00A44E5D" w:rsidP="00A44E5D">
                  <w:pPr>
                    <w:ind w:firstLine="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1895</w:t>
                  </w:r>
                </w:p>
              </w:tc>
              <w:tc>
                <w:tcPr>
                  <w:tcW w:w="1513" w:type="pct"/>
                  <w:noWrap/>
                  <w:hideMark/>
                </w:tcPr>
                <w:p w:rsidR="00A44E5D" w:rsidRPr="00A44E5D" w:rsidRDefault="00A44E5D" w:rsidP="00A44E5D">
                  <w:pPr>
                    <w:ind w:firstLine="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A44E5D">
                    <w:rPr>
                      <w:rFonts w:ascii="Times New Roman" w:eastAsia="Times New Roman" w:hAnsi="Times New Roman" w:cs="Times New Roman"/>
                      <w:color w:val="000000"/>
                      <w:sz w:val="18"/>
                      <w:szCs w:val="18"/>
                    </w:rPr>
                    <w:t>9</w:t>
                  </w:r>
                </w:p>
              </w:tc>
            </w:tr>
          </w:tbl>
          <w:p w:rsidR="00A44E5D" w:rsidRPr="00A44E5D" w:rsidRDefault="00A44E5D" w:rsidP="00A44E5D">
            <w:pPr>
              <w:spacing w:after="120" w:line="240" w:lineRule="auto"/>
              <w:ind w:firstLine="360"/>
              <w:jc w:val="both"/>
              <w:rPr>
                <w:rFonts w:ascii="Calibri" w:eastAsia="MS Mincho" w:hAnsi="Calibri" w:cs="Times New Roman"/>
                <w:sz w:val="18"/>
                <w:szCs w:val="18"/>
              </w:rPr>
            </w:pPr>
          </w:p>
        </w:tc>
        <w:tc>
          <w:tcPr>
            <w:tcW w:w="4643" w:type="dxa"/>
          </w:tcPr>
          <w:p w:rsidR="00A44E5D" w:rsidRPr="00A44E5D" w:rsidRDefault="00A44E5D" w:rsidP="00A44E5D">
            <w:pPr>
              <w:spacing w:after="120" w:line="240" w:lineRule="auto"/>
              <w:ind w:firstLine="360"/>
              <w:jc w:val="right"/>
              <w:rPr>
                <w:rFonts w:ascii="Calibri" w:eastAsia="MS Mincho" w:hAnsi="Calibri" w:cs="Times New Roman"/>
                <w:sz w:val="18"/>
                <w:szCs w:val="18"/>
              </w:rPr>
            </w:pPr>
            <w:r w:rsidRPr="00A44E5D">
              <w:rPr>
                <w:rFonts w:ascii="Calibri" w:eastAsia="MS Mincho" w:hAnsi="Calibri" w:cs="Times New Roman"/>
                <w:noProof/>
                <w:sz w:val="18"/>
                <w:szCs w:val="18"/>
                <w:lang w:eastAsia="ru-RU"/>
              </w:rPr>
              <w:drawing>
                <wp:inline distT="0" distB="0" distL="0" distR="0" wp14:anchorId="243AEDB8" wp14:editId="03BE6ADD">
                  <wp:extent cx="2751859" cy="2826327"/>
                  <wp:effectExtent l="19050" t="0" r="0" b="0"/>
                  <wp:docPr id="1"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A44E5D" w:rsidRPr="00A44E5D" w:rsidTr="00A44E5D">
        <w:tc>
          <w:tcPr>
            <w:tcW w:w="5353" w:type="dxa"/>
          </w:tcPr>
          <w:p w:rsidR="00A44E5D" w:rsidRPr="00A44E5D" w:rsidRDefault="00A44E5D" w:rsidP="00A44E5D">
            <w:pPr>
              <w:spacing w:after="120" w:line="240" w:lineRule="auto"/>
              <w:ind w:firstLine="360"/>
              <w:rPr>
                <w:rFonts w:ascii="Calibri" w:eastAsia="MS Mincho" w:hAnsi="Calibri" w:cs="Times New Roman"/>
                <w:i/>
                <w:sz w:val="18"/>
                <w:szCs w:val="18"/>
                <w:lang w:val="en-US"/>
              </w:rPr>
            </w:pPr>
            <w:r w:rsidRPr="00A44E5D">
              <w:rPr>
                <w:rFonts w:ascii="Calibri" w:eastAsia="MS Mincho" w:hAnsi="Calibri" w:cs="Times New Roman"/>
                <w:i/>
                <w:sz w:val="18"/>
                <w:szCs w:val="18"/>
              </w:rPr>
              <w:t>Источник</w:t>
            </w:r>
            <w:r w:rsidRPr="00A44E5D">
              <w:rPr>
                <w:rFonts w:ascii="Calibri" w:eastAsia="MS Mincho" w:hAnsi="Calibri" w:cs="Times New Roman"/>
                <w:i/>
                <w:sz w:val="18"/>
                <w:szCs w:val="18"/>
                <w:lang w:val="en-US"/>
              </w:rPr>
              <w:t>: BP Statistical Review of World Energy June 2015</w:t>
            </w:r>
          </w:p>
        </w:tc>
        <w:tc>
          <w:tcPr>
            <w:tcW w:w="4643" w:type="dxa"/>
          </w:tcPr>
          <w:p w:rsidR="00A44E5D" w:rsidRPr="00A44E5D" w:rsidRDefault="00A44E5D" w:rsidP="00A44E5D">
            <w:pPr>
              <w:spacing w:after="120" w:line="240" w:lineRule="auto"/>
              <w:ind w:firstLine="360"/>
              <w:jc w:val="right"/>
              <w:rPr>
                <w:rFonts w:ascii="Calibri" w:eastAsia="MS Mincho" w:hAnsi="Calibri" w:cs="Times New Roman"/>
                <w:i/>
                <w:sz w:val="18"/>
                <w:szCs w:val="18"/>
                <w:lang w:val="en-US"/>
              </w:rPr>
            </w:pPr>
            <w:proofErr w:type="spellStart"/>
            <w:r w:rsidRPr="00A44E5D">
              <w:rPr>
                <w:rFonts w:ascii="Calibri" w:eastAsia="MS Mincho" w:hAnsi="Calibri" w:cs="Times New Roman"/>
                <w:i/>
                <w:sz w:val="18"/>
                <w:szCs w:val="18"/>
                <w:lang w:val="en-US"/>
              </w:rPr>
              <w:t>Источник</w:t>
            </w:r>
            <w:proofErr w:type="spellEnd"/>
            <w:r w:rsidRPr="00A44E5D">
              <w:rPr>
                <w:rFonts w:ascii="Calibri" w:eastAsia="MS Mincho" w:hAnsi="Calibri" w:cs="Times New Roman"/>
                <w:i/>
                <w:sz w:val="18"/>
                <w:szCs w:val="18"/>
                <w:lang w:val="en-US"/>
              </w:rPr>
              <w:t>: International Trade Centre, 2014</w:t>
            </w:r>
          </w:p>
        </w:tc>
      </w:tr>
    </w:tbl>
    <w:p w:rsidR="00EE4522" w:rsidRDefault="00EE4522" w:rsidP="00A44E5D">
      <w:pPr>
        <w:ind w:firstLine="709"/>
        <w:jc w:val="both"/>
        <w:rPr>
          <w:rFonts w:ascii="Times New Roman" w:hAnsi="Times New Roman" w:cs="Times New Roman"/>
          <w:sz w:val="28"/>
          <w:szCs w:val="28"/>
        </w:rPr>
      </w:pPr>
    </w:p>
    <w:p w:rsidR="00A44E5D" w:rsidRDefault="00A44E5D" w:rsidP="00EE4522">
      <w:pPr>
        <w:pStyle w:val="1"/>
        <w:rPr>
          <w:rFonts w:ascii="Times New Roman" w:hAnsi="Times New Roman" w:cs="Times New Roman"/>
          <w:color w:val="1F497D" w:themeColor="text2"/>
        </w:rPr>
      </w:pPr>
      <w:bookmarkStart w:id="196" w:name="_Toc431474321"/>
      <w:r w:rsidRPr="00EE4522">
        <w:rPr>
          <w:rFonts w:ascii="Times New Roman" w:hAnsi="Times New Roman" w:cs="Times New Roman"/>
          <w:color w:val="1F497D" w:themeColor="text2"/>
        </w:rPr>
        <w:lastRenderedPageBreak/>
        <w:t>Налоговая нагрузка в экономике</w:t>
      </w:r>
      <w:bookmarkEnd w:id="196"/>
    </w:p>
    <w:p w:rsidR="00EE4522" w:rsidRPr="00EE4522" w:rsidRDefault="00EE4522" w:rsidP="00B35057">
      <w:pPr>
        <w:spacing w:after="120" w:line="240" w:lineRule="auto"/>
      </w:pPr>
    </w:p>
    <w:p w:rsidR="00A44E5D" w:rsidRPr="001309E7" w:rsidRDefault="00A44E5D" w:rsidP="00B35057">
      <w:pPr>
        <w:spacing w:after="120" w:line="240" w:lineRule="auto"/>
        <w:ind w:firstLine="709"/>
        <w:jc w:val="both"/>
        <w:rPr>
          <w:rFonts w:ascii="Times New Roman" w:hAnsi="Times New Roman" w:cs="Times New Roman"/>
          <w:sz w:val="26"/>
          <w:szCs w:val="26"/>
        </w:rPr>
      </w:pPr>
      <w:r w:rsidRPr="001309E7">
        <w:rPr>
          <w:rFonts w:ascii="Times New Roman" w:hAnsi="Times New Roman" w:cs="Times New Roman"/>
          <w:sz w:val="26"/>
          <w:szCs w:val="26"/>
        </w:rPr>
        <w:t xml:space="preserve">Налоговая нагрузка – один из важных факторов конкурентоспособности нефтегазового сектора. </w:t>
      </w:r>
      <w:proofErr w:type="gramStart"/>
      <w:r w:rsidRPr="001309E7">
        <w:rPr>
          <w:rFonts w:ascii="Times New Roman" w:hAnsi="Times New Roman" w:cs="Times New Roman"/>
          <w:sz w:val="26"/>
          <w:szCs w:val="26"/>
        </w:rPr>
        <w:t>Общий для всех отраслей экономики уровень налоговой нагрузки в стране может характеризоваться отношением налоговых отчислений к ВВП, отражающим в некоторой степени уровень развития институтов власти и налоговой дисциплины, а также соотношением прибыли от экономической деятельности и уплачиваемых налогов, отражающем собственно налоговое бремя экономических субъектов.</w:t>
      </w:r>
      <w:proofErr w:type="gramEnd"/>
    </w:p>
    <w:p w:rsidR="00A44E5D" w:rsidRPr="001309E7" w:rsidRDefault="00A44E5D" w:rsidP="00B35057">
      <w:pPr>
        <w:spacing w:after="120" w:line="240" w:lineRule="auto"/>
        <w:ind w:firstLine="709"/>
        <w:jc w:val="both"/>
        <w:rPr>
          <w:rFonts w:ascii="Times New Roman" w:hAnsi="Times New Roman" w:cs="Times New Roman"/>
          <w:sz w:val="26"/>
          <w:szCs w:val="26"/>
        </w:rPr>
      </w:pPr>
      <w:r w:rsidRPr="001309E7">
        <w:rPr>
          <w:rFonts w:ascii="Times New Roman" w:hAnsi="Times New Roman" w:cs="Times New Roman"/>
          <w:sz w:val="26"/>
          <w:szCs w:val="26"/>
        </w:rPr>
        <w:t xml:space="preserve">Среди нефтедобывающих стран наибольший показатель отношения налоговых отчислений к ВВП отмечается у Норвегии, Великобритании, Бразилии и Канады – более 30% (в России чуть меньше 28%). </w:t>
      </w:r>
    </w:p>
    <w:p w:rsidR="00EE4522" w:rsidRDefault="00A44E5D" w:rsidP="00B35057">
      <w:pPr>
        <w:spacing w:after="120" w:line="240" w:lineRule="auto"/>
        <w:ind w:firstLine="709"/>
        <w:jc w:val="both"/>
        <w:rPr>
          <w:rFonts w:ascii="Times New Roman" w:hAnsi="Times New Roman" w:cs="Times New Roman"/>
          <w:sz w:val="26"/>
          <w:szCs w:val="26"/>
        </w:rPr>
      </w:pPr>
      <w:r w:rsidRPr="001309E7">
        <w:rPr>
          <w:rFonts w:ascii="Times New Roman" w:hAnsi="Times New Roman" w:cs="Times New Roman"/>
          <w:sz w:val="26"/>
          <w:szCs w:val="26"/>
        </w:rPr>
        <w:t>По соотношению объемов уплаченных налогов и прибыли компаний Россия выглядит более привлекательной, чем латиноамериканские страны и Китай, но уступает США, Ве</w:t>
      </w:r>
      <w:r w:rsidR="00EE4522">
        <w:rPr>
          <w:rFonts w:ascii="Times New Roman" w:hAnsi="Times New Roman" w:cs="Times New Roman"/>
          <w:sz w:val="26"/>
          <w:szCs w:val="26"/>
        </w:rPr>
        <w:t>ликобритании, Норвегии, Канаде.</w:t>
      </w:r>
    </w:p>
    <w:p w:rsidR="00B35057" w:rsidRPr="00EE4522" w:rsidRDefault="00B35057" w:rsidP="00B35057">
      <w:pPr>
        <w:spacing w:after="120" w:line="240" w:lineRule="auto"/>
        <w:ind w:firstLine="709"/>
        <w:jc w:val="both"/>
        <w:rPr>
          <w:rFonts w:ascii="Times New Roman" w:hAnsi="Times New Roman" w:cs="Times New Roman"/>
          <w:sz w:val="26"/>
          <w:szCs w:val="26"/>
        </w:rPr>
      </w:pPr>
    </w:p>
    <w:tbl>
      <w:tblPr>
        <w:tblW w:w="0" w:type="auto"/>
        <w:tblLayout w:type="fixed"/>
        <w:tblLook w:val="04A0" w:firstRow="1" w:lastRow="0" w:firstColumn="1" w:lastColumn="0" w:noHBand="0" w:noVBand="1"/>
      </w:tblPr>
      <w:tblGrid>
        <w:gridCol w:w="5353"/>
        <w:gridCol w:w="4643"/>
      </w:tblGrid>
      <w:tr w:rsidR="00A44E5D" w:rsidRPr="00C76F37" w:rsidTr="00EE4522">
        <w:trPr>
          <w:trHeight w:val="270"/>
        </w:trPr>
        <w:tc>
          <w:tcPr>
            <w:tcW w:w="5353" w:type="dxa"/>
          </w:tcPr>
          <w:p w:rsidR="00A44E5D" w:rsidRPr="00C76F37" w:rsidRDefault="00A44E5D" w:rsidP="00A44E5D">
            <w:pPr>
              <w:spacing w:after="120"/>
              <w:rPr>
                <w:rFonts w:cs="Times New Roman"/>
                <w:b/>
                <w:i/>
                <w:sz w:val="18"/>
                <w:szCs w:val="18"/>
              </w:rPr>
            </w:pPr>
            <w:r w:rsidRPr="00C76F37">
              <w:rPr>
                <w:rFonts w:cs="Times New Roman"/>
                <w:b/>
                <w:i/>
                <w:sz w:val="18"/>
                <w:szCs w:val="18"/>
              </w:rPr>
              <w:t>Показатели налоговой нагрузки на экономику</w:t>
            </w:r>
          </w:p>
        </w:tc>
        <w:tc>
          <w:tcPr>
            <w:tcW w:w="4643" w:type="dxa"/>
          </w:tcPr>
          <w:p w:rsidR="00A44E5D" w:rsidRPr="00C76F37" w:rsidRDefault="00A44E5D" w:rsidP="00A44E5D">
            <w:pPr>
              <w:spacing w:after="120"/>
              <w:jc w:val="right"/>
              <w:rPr>
                <w:rFonts w:cs="Times New Roman"/>
                <w:b/>
                <w:i/>
                <w:sz w:val="18"/>
                <w:szCs w:val="18"/>
              </w:rPr>
            </w:pPr>
          </w:p>
        </w:tc>
      </w:tr>
      <w:tr w:rsidR="00A44E5D" w:rsidTr="00EE4522">
        <w:trPr>
          <w:trHeight w:val="2869"/>
        </w:trPr>
        <w:tc>
          <w:tcPr>
            <w:tcW w:w="9996" w:type="dxa"/>
            <w:gridSpan w:val="2"/>
          </w:tcPr>
          <w:p w:rsidR="00A44E5D" w:rsidRPr="00F06B41" w:rsidRDefault="00A44E5D" w:rsidP="00A44E5D">
            <w:pPr>
              <w:spacing w:after="120"/>
              <w:jc w:val="right"/>
              <w:rPr>
                <w:rFonts w:cs="Times New Roman"/>
                <w:sz w:val="18"/>
                <w:szCs w:val="18"/>
              </w:rPr>
            </w:pPr>
            <w:r w:rsidRPr="007F3B8A">
              <w:rPr>
                <w:rFonts w:cs="Times New Roman"/>
                <w:noProof/>
                <w:sz w:val="18"/>
                <w:szCs w:val="18"/>
                <w:lang w:eastAsia="ru-RU"/>
              </w:rPr>
              <w:drawing>
                <wp:inline distT="0" distB="0" distL="0" distR="0" wp14:anchorId="3B164A8C" wp14:editId="6136A16B">
                  <wp:extent cx="6283036" cy="1787237"/>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A44E5D" w:rsidRPr="001A1C28" w:rsidTr="00EE4522">
        <w:trPr>
          <w:trHeight w:val="601"/>
        </w:trPr>
        <w:tc>
          <w:tcPr>
            <w:tcW w:w="9996" w:type="dxa"/>
            <w:gridSpan w:val="2"/>
          </w:tcPr>
          <w:p w:rsidR="00EE4522" w:rsidRDefault="00A44E5D" w:rsidP="00A44E5D">
            <w:pPr>
              <w:spacing w:after="120"/>
              <w:rPr>
                <w:rFonts w:cs="Times New Roman"/>
                <w:i/>
                <w:sz w:val="18"/>
                <w:szCs w:val="18"/>
              </w:rPr>
            </w:pPr>
            <w:r w:rsidRPr="00C1017C">
              <w:rPr>
                <w:rFonts w:cs="Times New Roman"/>
                <w:i/>
                <w:sz w:val="18"/>
                <w:szCs w:val="18"/>
              </w:rPr>
              <w:t>*</w:t>
            </w:r>
            <w:r>
              <w:rPr>
                <w:rFonts w:cs="Times New Roman"/>
                <w:i/>
                <w:sz w:val="18"/>
                <w:szCs w:val="18"/>
              </w:rPr>
              <w:t>без</w:t>
            </w:r>
            <w:r w:rsidRPr="00C1017C">
              <w:rPr>
                <w:rFonts w:cs="Times New Roman"/>
                <w:i/>
                <w:sz w:val="18"/>
                <w:szCs w:val="18"/>
              </w:rPr>
              <w:t xml:space="preserve"> </w:t>
            </w:r>
            <w:r>
              <w:rPr>
                <w:rFonts w:cs="Times New Roman"/>
                <w:i/>
                <w:sz w:val="18"/>
                <w:szCs w:val="18"/>
              </w:rPr>
              <w:t>учета</w:t>
            </w:r>
            <w:r w:rsidRPr="00C1017C">
              <w:rPr>
                <w:rFonts w:cs="Times New Roman"/>
                <w:i/>
                <w:sz w:val="18"/>
                <w:szCs w:val="18"/>
              </w:rPr>
              <w:t xml:space="preserve"> </w:t>
            </w:r>
            <w:r>
              <w:rPr>
                <w:rFonts w:cs="Times New Roman"/>
                <w:i/>
                <w:sz w:val="18"/>
                <w:szCs w:val="18"/>
              </w:rPr>
              <w:t>удержанных налогов</w:t>
            </w:r>
            <w:r w:rsidRPr="00C1017C">
              <w:rPr>
                <w:rFonts w:cs="Times New Roman"/>
                <w:i/>
                <w:sz w:val="18"/>
                <w:szCs w:val="18"/>
              </w:rPr>
              <w:t xml:space="preserve"> </w:t>
            </w:r>
            <w:r>
              <w:rPr>
                <w:rFonts w:cs="Times New Roman"/>
                <w:i/>
                <w:sz w:val="18"/>
                <w:szCs w:val="18"/>
              </w:rPr>
              <w:t>(НДФЛ, НДС, налог с продаж)</w:t>
            </w:r>
          </w:p>
          <w:p w:rsidR="00A44E5D" w:rsidRPr="00EE4522" w:rsidRDefault="00A44E5D" w:rsidP="00A44E5D">
            <w:pPr>
              <w:spacing w:after="120"/>
              <w:rPr>
                <w:rFonts w:cs="Times New Roman"/>
                <w:i/>
                <w:sz w:val="18"/>
                <w:szCs w:val="18"/>
                <w:lang w:val="en-US"/>
              </w:rPr>
            </w:pPr>
            <w:r w:rsidRPr="00BF42A7">
              <w:rPr>
                <w:rFonts w:cs="Times New Roman"/>
                <w:i/>
                <w:sz w:val="18"/>
                <w:szCs w:val="18"/>
              </w:rPr>
              <w:t>Источник</w:t>
            </w:r>
            <w:r w:rsidRPr="001973DF">
              <w:rPr>
                <w:rFonts w:cs="Times New Roman"/>
                <w:i/>
                <w:sz w:val="18"/>
                <w:szCs w:val="18"/>
                <w:lang w:val="en-US"/>
              </w:rPr>
              <w:t xml:space="preserve">: </w:t>
            </w:r>
            <w:r w:rsidRPr="00D22199">
              <w:rPr>
                <w:rFonts w:cs="Times New Roman"/>
                <w:i/>
                <w:sz w:val="18"/>
                <w:szCs w:val="18"/>
                <w:lang w:val="en-US"/>
              </w:rPr>
              <w:t>World</w:t>
            </w:r>
            <w:r w:rsidRPr="001973DF">
              <w:rPr>
                <w:rFonts w:cs="Times New Roman"/>
                <w:i/>
                <w:sz w:val="18"/>
                <w:szCs w:val="18"/>
                <w:lang w:val="en-US"/>
              </w:rPr>
              <w:t xml:space="preserve"> </w:t>
            </w:r>
            <w:r w:rsidRPr="00D22199">
              <w:rPr>
                <w:rFonts w:cs="Times New Roman"/>
                <w:i/>
                <w:sz w:val="18"/>
                <w:szCs w:val="18"/>
                <w:lang w:val="en-US"/>
              </w:rPr>
              <w:t>Development</w:t>
            </w:r>
            <w:r w:rsidRPr="001973DF">
              <w:rPr>
                <w:rFonts w:cs="Times New Roman"/>
                <w:i/>
                <w:sz w:val="18"/>
                <w:szCs w:val="18"/>
                <w:lang w:val="en-US"/>
              </w:rPr>
              <w:t xml:space="preserve"> </w:t>
            </w:r>
            <w:r w:rsidRPr="00D22199">
              <w:rPr>
                <w:rFonts w:cs="Times New Roman"/>
                <w:i/>
                <w:sz w:val="18"/>
                <w:szCs w:val="18"/>
                <w:lang w:val="en-US"/>
              </w:rPr>
              <w:t>Indicators</w:t>
            </w:r>
            <w:r w:rsidRPr="001973DF">
              <w:rPr>
                <w:rFonts w:cs="Times New Roman"/>
                <w:i/>
                <w:sz w:val="18"/>
                <w:szCs w:val="18"/>
                <w:lang w:val="en-US"/>
              </w:rPr>
              <w:t>, Heritage Foundation, 2014</w:t>
            </w:r>
          </w:p>
        </w:tc>
      </w:tr>
    </w:tbl>
    <w:p w:rsidR="00A44E5D" w:rsidRPr="00D50C42" w:rsidRDefault="00A44E5D" w:rsidP="00B35057">
      <w:pPr>
        <w:spacing w:after="120" w:line="240" w:lineRule="auto"/>
        <w:ind w:firstLine="708"/>
        <w:jc w:val="both"/>
        <w:rPr>
          <w:rFonts w:ascii="Times New Roman" w:hAnsi="Times New Roman" w:cs="Times New Roman"/>
          <w:sz w:val="26"/>
          <w:szCs w:val="26"/>
        </w:rPr>
      </w:pPr>
      <w:r w:rsidRPr="00D50C42">
        <w:rPr>
          <w:rFonts w:ascii="Times New Roman" w:hAnsi="Times New Roman" w:cs="Times New Roman"/>
          <w:sz w:val="26"/>
          <w:szCs w:val="26"/>
        </w:rPr>
        <w:t xml:space="preserve">Естественно, ситуация будет различаться от отрасли к отрасли. В России нефтегазовый сектор принимает на себя значительную часть налоговой нагрузки на экономику. За 2014 год доля налоговых отчислений нефтегазового сектора превысила 50% доходов российского бюджета (для сравнения в Норвегии лишь 20%). В 2005-2014 гг. предприятия добывающего сектора выплачивали в российский бюджет более 30% от выручки, а у отдельных нефтяных компаний налогами изымалось более 50% выручки. Несмотря на то, что по всем отраслям к 2014 году отмечалось сокращение соотношения налогов к выручке, совокупный объем отчислений увеличивался за счет повышения прозрачности бизнеса и налоговой дисциплины. </w:t>
      </w:r>
    </w:p>
    <w:p w:rsidR="00A44E5D" w:rsidRPr="00D50C42" w:rsidRDefault="00A44E5D" w:rsidP="00B35057">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Уровень статистической рентабельности демонстрирует отношение себестоимости к выручке на примере конкретных компаний. Далеко не у всех предприятий в отрасли однозначно положительные тенденции (так, у Роснефти и Газпрома за период 2013-2014 рентабельность снизилась на 2%, </w:t>
      </w:r>
      <w:proofErr w:type="gramStart"/>
      <w:r w:rsidRPr="00D50C42">
        <w:rPr>
          <w:rFonts w:ascii="Times New Roman" w:hAnsi="Times New Roman" w:cs="Times New Roman"/>
          <w:sz w:val="26"/>
          <w:szCs w:val="26"/>
        </w:rPr>
        <w:t>у</w:t>
      </w:r>
      <w:proofErr w:type="gramEnd"/>
      <w:r w:rsidRPr="00D50C42">
        <w:rPr>
          <w:rFonts w:ascii="Times New Roman" w:hAnsi="Times New Roman" w:cs="Times New Roman"/>
          <w:sz w:val="26"/>
          <w:szCs w:val="26"/>
        </w:rPr>
        <w:t xml:space="preserve"> </w:t>
      </w:r>
      <w:proofErr w:type="gramStart"/>
      <w:r w:rsidRPr="00D50C42">
        <w:rPr>
          <w:rFonts w:ascii="Times New Roman" w:hAnsi="Times New Roman" w:cs="Times New Roman"/>
          <w:sz w:val="26"/>
          <w:szCs w:val="26"/>
        </w:rPr>
        <w:t>Газпром</w:t>
      </w:r>
      <w:proofErr w:type="gramEnd"/>
      <w:r w:rsidR="001A1C28" w:rsidRPr="001A1C28">
        <w:rPr>
          <w:rFonts w:ascii="Times New Roman" w:hAnsi="Times New Roman" w:cs="Times New Roman"/>
          <w:sz w:val="26"/>
          <w:szCs w:val="26"/>
        </w:rPr>
        <w:t xml:space="preserve"> </w:t>
      </w:r>
      <w:r w:rsidRPr="00D50C42">
        <w:rPr>
          <w:rFonts w:ascii="Times New Roman" w:hAnsi="Times New Roman" w:cs="Times New Roman"/>
          <w:sz w:val="26"/>
          <w:szCs w:val="26"/>
        </w:rPr>
        <w:t>нефти – повысилась на 1%), однако данные бухгалтерской отчетности подтверждают  более</w:t>
      </w:r>
      <w:r w:rsidR="00EE4522">
        <w:rPr>
          <w:rFonts w:ascii="Times New Roman" w:hAnsi="Times New Roman" w:cs="Times New Roman"/>
          <w:sz w:val="26"/>
          <w:szCs w:val="26"/>
        </w:rPr>
        <w:t xml:space="preserve"> </w:t>
      </w:r>
      <w:r w:rsidRPr="00D50C42">
        <w:rPr>
          <w:rFonts w:ascii="Times New Roman" w:hAnsi="Times New Roman" w:cs="Times New Roman"/>
          <w:sz w:val="26"/>
          <w:szCs w:val="26"/>
        </w:rPr>
        <w:t>высокую рентабельность сырьевого сектора и его способность нести повышенную налоговую нагрузку.</w:t>
      </w:r>
    </w:p>
    <w:tbl>
      <w:tblPr>
        <w:tblW w:w="0" w:type="auto"/>
        <w:tblLayout w:type="fixed"/>
        <w:tblLook w:val="04A0" w:firstRow="1" w:lastRow="0" w:firstColumn="1" w:lastColumn="0" w:noHBand="0" w:noVBand="1"/>
      </w:tblPr>
      <w:tblGrid>
        <w:gridCol w:w="5353"/>
        <w:gridCol w:w="4643"/>
      </w:tblGrid>
      <w:tr w:rsidR="00A44E5D" w:rsidRPr="00C76F37" w:rsidTr="00A44E5D">
        <w:tc>
          <w:tcPr>
            <w:tcW w:w="5353" w:type="dxa"/>
          </w:tcPr>
          <w:p w:rsidR="00A44E5D" w:rsidRPr="00C76F37" w:rsidRDefault="00A44E5D" w:rsidP="00A44E5D">
            <w:pPr>
              <w:spacing w:after="120"/>
              <w:rPr>
                <w:rFonts w:cs="Times New Roman"/>
                <w:b/>
                <w:i/>
                <w:sz w:val="18"/>
                <w:szCs w:val="18"/>
              </w:rPr>
            </w:pPr>
            <w:r w:rsidRPr="00C76F37">
              <w:rPr>
                <w:rFonts w:cs="Times New Roman"/>
                <w:b/>
                <w:i/>
                <w:sz w:val="18"/>
                <w:szCs w:val="18"/>
              </w:rPr>
              <w:lastRenderedPageBreak/>
              <w:t>Доля налогов по отношению к выручке компаний сектора в 2005-2014 гг., %</w:t>
            </w:r>
          </w:p>
        </w:tc>
        <w:tc>
          <w:tcPr>
            <w:tcW w:w="4643" w:type="dxa"/>
          </w:tcPr>
          <w:p w:rsidR="00A44E5D" w:rsidRPr="00C76F37" w:rsidRDefault="00A44E5D" w:rsidP="00EE4522">
            <w:pPr>
              <w:spacing w:after="120"/>
              <w:rPr>
                <w:rFonts w:cs="Times New Roman"/>
                <w:b/>
                <w:i/>
                <w:sz w:val="18"/>
                <w:szCs w:val="18"/>
              </w:rPr>
            </w:pPr>
            <w:r w:rsidRPr="00C76F37">
              <w:rPr>
                <w:rFonts w:cs="Times New Roman"/>
                <w:b/>
                <w:i/>
                <w:sz w:val="18"/>
                <w:szCs w:val="18"/>
              </w:rPr>
              <w:t>Изменение объема налоговых поступлений по отраслям экономики в 2005-2014 гг., тыс. руб.</w:t>
            </w:r>
          </w:p>
        </w:tc>
      </w:tr>
      <w:tr w:rsidR="00A44E5D" w:rsidTr="00A44E5D">
        <w:tc>
          <w:tcPr>
            <w:tcW w:w="5353" w:type="dxa"/>
          </w:tcPr>
          <w:p w:rsidR="00A44E5D" w:rsidRPr="00F06B41" w:rsidRDefault="00A44E5D" w:rsidP="00A44E5D">
            <w:pPr>
              <w:spacing w:after="120"/>
              <w:jc w:val="both"/>
              <w:rPr>
                <w:rFonts w:cs="Times New Roman"/>
                <w:sz w:val="18"/>
                <w:szCs w:val="18"/>
              </w:rPr>
            </w:pPr>
            <w:r>
              <w:rPr>
                <w:rFonts w:cs="Times New Roman"/>
                <w:noProof/>
                <w:sz w:val="18"/>
                <w:szCs w:val="18"/>
                <w:lang w:eastAsia="ru-RU"/>
              </w:rPr>
              <mc:AlternateContent>
                <mc:Choice Requires="wps">
                  <w:drawing>
                    <wp:anchor distT="0" distB="0" distL="114300" distR="114300" simplePos="0" relativeHeight="251663360" behindDoc="0" locked="0" layoutInCell="1" allowOverlap="1" wp14:anchorId="07DB676E" wp14:editId="071BAD79">
                      <wp:simplePos x="0" y="0"/>
                      <wp:positionH relativeFrom="column">
                        <wp:posOffset>-113030</wp:posOffset>
                      </wp:positionH>
                      <wp:positionV relativeFrom="paragraph">
                        <wp:posOffset>2454910</wp:posOffset>
                      </wp:positionV>
                      <wp:extent cx="6227445" cy="589280"/>
                      <wp:effectExtent l="1270" t="3810" r="6985" b="16510"/>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445" cy="589280"/>
                              </a:xfrm>
                              <a:prstGeom prst="roundRect">
                                <a:avLst>
                                  <a:gd name="adj" fmla="val 16667"/>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8.9pt;margin-top:193.3pt;width:490.35pt;height:4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" filled="f" strokecolor="#d8d8d8 [2732]">
                      <v:stroke dashstyle="dash"/>
                    </v:roundrect>
                  </w:pict>
                </mc:Fallback>
              </mc:AlternateContent>
            </w:r>
            <w:r>
              <w:rPr>
                <w:rFonts w:cs="Times New Roman"/>
                <w:noProof/>
                <w:sz w:val="18"/>
                <w:szCs w:val="18"/>
                <w:lang w:eastAsia="ru-RU"/>
              </w:rPr>
              <mc:AlternateContent>
                <mc:Choice Requires="wps">
                  <w:drawing>
                    <wp:anchor distT="0" distB="0" distL="114300" distR="114300" simplePos="0" relativeHeight="251659264" behindDoc="0" locked="0" layoutInCell="1" allowOverlap="1" wp14:anchorId="4BDAAB83" wp14:editId="1EF28F0B">
                      <wp:simplePos x="0" y="0"/>
                      <wp:positionH relativeFrom="column">
                        <wp:posOffset>-104775</wp:posOffset>
                      </wp:positionH>
                      <wp:positionV relativeFrom="paragraph">
                        <wp:posOffset>3044190</wp:posOffset>
                      </wp:positionV>
                      <wp:extent cx="6227445" cy="589280"/>
                      <wp:effectExtent l="0" t="0" r="11430" b="11430"/>
                      <wp:wrapNone/>
                      <wp:docPr id="3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445" cy="589280"/>
                              </a:xfrm>
                              <a:prstGeom prst="roundRect">
                                <a:avLst>
                                  <a:gd name="adj" fmla="val 16667"/>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8.25pt;margin-top:239.7pt;width:490.35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" filled="f" strokecolor="#d8d8d8 [2732]">
                      <v:stroke dashstyle="dash"/>
                    </v:roundrect>
                  </w:pict>
                </mc:Fallback>
              </mc:AlternateContent>
            </w:r>
            <w:r>
              <w:rPr>
                <w:rFonts w:cs="Times New Roman"/>
                <w:noProof/>
                <w:sz w:val="18"/>
                <w:szCs w:val="18"/>
                <w:lang w:eastAsia="ru-RU"/>
              </w:rPr>
              <mc:AlternateContent>
                <mc:Choice Requires="wps">
                  <w:drawing>
                    <wp:anchor distT="0" distB="0" distL="114300" distR="114300" simplePos="0" relativeHeight="251660288" behindDoc="0" locked="0" layoutInCell="1" allowOverlap="1" wp14:anchorId="5A66534A" wp14:editId="229623DD">
                      <wp:simplePos x="0" y="0"/>
                      <wp:positionH relativeFrom="column">
                        <wp:posOffset>-113030</wp:posOffset>
                      </wp:positionH>
                      <wp:positionV relativeFrom="paragraph">
                        <wp:posOffset>3629660</wp:posOffset>
                      </wp:positionV>
                      <wp:extent cx="6227445" cy="589280"/>
                      <wp:effectExtent l="1270" t="0" r="6985" b="10160"/>
                      <wp:wrapNone/>
                      <wp:docPr id="3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445" cy="589280"/>
                              </a:xfrm>
                              <a:prstGeom prst="roundRect">
                                <a:avLst>
                                  <a:gd name="adj" fmla="val 16667"/>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8.9pt;margin-top:285.8pt;width:490.35pt;height:4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" filled="f" strokecolor="#d8d8d8 [2732]">
                      <v:stroke dashstyle="dash"/>
                    </v:roundrect>
                  </w:pict>
                </mc:Fallback>
              </mc:AlternateContent>
            </w:r>
            <w:r>
              <w:rPr>
                <w:rFonts w:cs="Times New Roman"/>
                <w:noProof/>
                <w:sz w:val="18"/>
                <w:szCs w:val="18"/>
                <w:lang w:eastAsia="ru-RU"/>
              </w:rPr>
              <mc:AlternateContent>
                <mc:Choice Requires="wps">
                  <w:drawing>
                    <wp:anchor distT="0" distB="0" distL="114300" distR="114300" simplePos="0" relativeHeight="251661312" behindDoc="0" locked="0" layoutInCell="1" allowOverlap="1" wp14:anchorId="74EA90ED" wp14:editId="65C6C46A">
                      <wp:simplePos x="0" y="0"/>
                      <wp:positionH relativeFrom="column">
                        <wp:posOffset>-104775</wp:posOffset>
                      </wp:positionH>
                      <wp:positionV relativeFrom="paragraph">
                        <wp:posOffset>4218940</wp:posOffset>
                      </wp:positionV>
                      <wp:extent cx="6227445" cy="589280"/>
                      <wp:effectExtent l="0" t="2540" r="11430" b="17780"/>
                      <wp:wrapNone/>
                      <wp:docPr id="3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445" cy="589280"/>
                              </a:xfrm>
                              <a:prstGeom prst="roundRect">
                                <a:avLst>
                                  <a:gd name="adj" fmla="val 16667"/>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8.25pt;margin-top:332.2pt;width:490.35pt;height:4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" filled="f" strokecolor="#d8d8d8 [2732]">
                      <v:stroke dashstyle="dash"/>
                    </v:roundrect>
                  </w:pict>
                </mc:Fallback>
              </mc:AlternateContent>
            </w:r>
            <w:r>
              <w:rPr>
                <w:rFonts w:cs="Times New Roman"/>
                <w:noProof/>
                <w:sz w:val="18"/>
                <w:szCs w:val="18"/>
                <w:lang w:eastAsia="ru-RU"/>
              </w:rPr>
              <mc:AlternateContent>
                <mc:Choice Requires="wps">
                  <w:drawing>
                    <wp:anchor distT="0" distB="0" distL="114300" distR="114300" simplePos="0" relativeHeight="251669504" behindDoc="0" locked="0" layoutInCell="1" allowOverlap="1" wp14:anchorId="1569FB24" wp14:editId="1DD44562">
                      <wp:simplePos x="0" y="0"/>
                      <wp:positionH relativeFrom="column">
                        <wp:posOffset>-104775</wp:posOffset>
                      </wp:positionH>
                      <wp:positionV relativeFrom="paragraph">
                        <wp:posOffset>6578600</wp:posOffset>
                      </wp:positionV>
                      <wp:extent cx="6227445" cy="589280"/>
                      <wp:effectExtent l="0" t="0" r="11430" b="7620"/>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445" cy="589280"/>
                              </a:xfrm>
                              <a:prstGeom prst="roundRect">
                                <a:avLst>
                                  <a:gd name="adj" fmla="val 16667"/>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8.25pt;margin-top:518pt;width:490.35pt;height:4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" filled="f" strokecolor="#d8d8d8 [2732]">
                      <v:stroke dashstyle="dash"/>
                    </v:roundrect>
                  </w:pict>
                </mc:Fallback>
              </mc:AlternateContent>
            </w:r>
            <w:r>
              <w:rPr>
                <w:rFonts w:cs="Times New Roman"/>
                <w:noProof/>
                <w:sz w:val="18"/>
                <w:szCs w:val="18"/>
                <w:lang w:eastAsia="ru-RU"/>
              </w:rPr>
              <mc:AlternateContent>
                <mc:Choice Requires="wps">
                  <w:drawing>
                    <wp:anchor distT="0" distB="0" distL="114300" distR="114300" simplePos="0" relativeHeight="251668480" behindDoc="0" locked="0" layoutInCell="1" allowOverlap="1" wp14:anchorId="73768801" wp14:editId="254C928A">
                      <wp:simplePos x="0" y="0"/>
                      <wp:positionH relativeFrom="column">
                        <wp:posOffset>-104775</wp:posOffset>
                      </wp:positionH>
                      <wp:positionV relativeFrom="paragraph">
                        <wp:posOffset>5989320</wp:posOffset>
                      </wp:positionV>
                      <wp:extent cx="6227445" cy="589280"/>
                      <wp:effectExtent l="0" t="0" r="11430" b="12700"/>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445" cy="589280"/>
                              </a:xfrm>
                              <a:prstGeom prst="roundRect">
                                <a:avLst>
                                  <a:gd name="adj" fmla="val 16667"/>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8.25pt;margin-top:471.6pt;width:490.35pt;height:4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" filled="f" strokecolor="#d8d8d8 [2732]">
                      <v:stroke dashstyle="dash"/>
                    </v:roundrect>
                  </w:pict>
                </mc:Fallback>
              </mc:AlternateContent>
            </w:r>
            <w:r>
              <w:rPr>
                <w:rFonts w:cs="Times New Roman"/>
                <w:noProof/>
                <w:sz w:val="18"/>
                <w:szCs w:val="18"/>
                <w:lang w:eastAsia="ru-RU"/>
              </w:rPr>
              <mc:AlternateContent>
                <mc:Choice Requires="wps">
                  <w:drawing>
                    <wp:anchor distT="0" distB="0" distL="114300" distR="114300" simplePos="0" relativeHeight="251667456" behindDoc="0" locked="0" layoutInCell="1" allowOverlap="1" wp14:anchorId="059E7B7F" wp14:editId="2BF475EE">
                      <wp:simplePos x="0" y="0"/>
                      <wp:positionH relativeFrom="column">
                        <wp:posOffset>-113030</wp:posOffset>
                      </wp:positionH>
                      <wp:positionV relativeFrom="paragraph">
                        <wp:posOffset>104775</wp:posOffset>
                      </wp:positionV>
                      <wp:extent cx="6227445" cy="589280"/>
                      <wp:effectExtent l="1270" t="3175" r="6985" b="17145"/>
                      <wp:wrapNone/>
                      <wp:docPr id="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445" cy="589280"/>
                              </a:xfrm>
                              <a:prstGeom prst="roundRect">
                                <a:avLst>
                                  <a:gd name="adj" fmla="val 16667"/>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8.9pt;margin-top:8.25pt;width:490.35pt;height:4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" filled="f" strokecolor="#d8d8d8 [2732]">
                      <v:stroke dashstyle="dash"/>
                    </v:roundrect>
                  </w:pict>
                </mc:Fallback>
              </mc:AlternateContent>
            </w:r>
            <w:r>
              <w:rPr>
                <w:rFonts w:cs="Times New Roman"/>
                <w:noProof/>
                <w:sz w:val="18"/>
                <w:szCs w:val="18"/>
                <w:lang w:eastAsia="ru-RU"/>
              </w:rPr>
              <mc:AlternateContent>
                <mc:Choice Requires="wps">
                  <w:drawing>
                    <wp:anchor distT="0" distB="0" distL="114300" distR="114300" simplePos="0" relativeHeight="251666432" behindDoc="0" locked="0" layoutInCell="1" allowOverlap="1" wp14:anchorId="5C5CE72D" wp14:editId="731DA0A1">
                      <wp:simplePos x="0" y="0"/>
                      <wp:positionH relativeFrom="column">
                        <wp:posOffset>-113030</wp:posOffset>
                      </wp:positionH>
                      <wp:positionV relativeFrom="paragraph">
                        <wp:posOffset>694055</wp:posOffset>
                      </wp:positionV>
                      <wp:extent cx="6227445" cy="589280"/>
                      <wp:effectExtent l="1270" t="0" r="6985" b="12065"/>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445" cy="589280"/>
                              </a:xfrm>
                              <a:prstGeom prst="roundRect">
                                <a:avLst>
                                  <a:gd name="adj" fmla="val 16667"/>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8.9pt;margin-top:54.65pt;width:490.35pt;height:4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" filled="f" strokecolor="#d8d8d8 [2732]">
                      <v:stroke dashstyle="dash"/>
                    </v:roundrect>
                  </w:pict>
                </mc:Fallback>
              </mc:AlternateContent>
            </w:r>
            <w:r>
              <w:rPr>
                <w:rFonts w:cs="Times New Roman"/>
                <w:noProof/>
                <w:sz w:val="18"/>
                <w:szCs w:val="18"/>
                <w:lang w:eastAsia="ru-RU"/>
              </w:rPr>
              <mc:AlternateContent>
                <mc:Choice Requires="wps">
                  <w:drawing>
                    <wp:anchor distT="0" distB="0" distL="114300" distR="114300" simplePos="0" relativeHeight="251665408" behindDoc="0" locked="0" layoutInCell="1" allowOverlap="1" wp14:anchorId="52A84749" wp14:editId="1CC38CAB">
                      <wp:simplePos x="0" y="0"/>
                      <wp:positionH relativeFrom="column">
                        <wp:posOffset>-113030</wp:posOffset>
                      </wp:positionH>
                      <wp:positionV relativeFrom="paragraph">
                        <wp:posOffset>1283335</wp:posOffset>
                      </wp:positionV>
                      <wp:extent cx="6227445" cy="589280"/>
                      <wp:effectExtent l="1270" t="635" r="6985" b="698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445" cy="589280"/>
                              </a:xfrm>
                              <a:prstGeom prst="roundRect">
                                <a:avLst>
                                  <a:gd name="adj" fmla="val 16667"/>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6" style="position:absolute;margin-left:-8.9pt;margin-top:101.05pt;width:490.35pt;height:4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" filled="f" strokecolor="#d8d8d8 [2732]">
                      <v:stroke dashstyle="dash"/>
                    </v:roundrect>
                  </w:pict>
                </mc:Fallback>
              </mc:AlternateContent>
            </w:r>
            <w:r>
              <w:rPr>
                <w:rFonts w:cs="Times New Roman"/>
                <w:noProof/>
                <w:sz w:val="18"/>
                <w:szCs w:val="18"/>
                <w:lang w:eastAsia="ru-RU"/>
              </w:rPr>
              <mc:AlternateContent>
                <mc:Choice Requires="wps">
                  <w:drawing>
                    <wp:anchor distT="0" distB="0" distL="114300" distR="114300" simplePos="0" relativeHeight="251664384" behindDoc="0" locked="0" layoutInCell="1" allowOverlap="1" wp14:anchorId="14F84B19" wp14:editId="1465C2CB">
                      <wp:simplePos x="0" y="0"/>
                      <wp:positionH relativeFrom="column">
                        <wp:posOffset>-113030</wp:posOffset>
                      </wp:positionH>
                      <wp:positionV relativeFrom="paragraph">
                        <wp:posOffset>1872615</wp:posOffset>
                      </wp:positionV>
                      <wp:extent cx="6227445" cy="589280"/>
                      <wp:effectExtent l="1270" t="5715" r="6985" b="1460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445" cy="589280"/>
                              </a:xfrm>
                              <a:prstGeom prst="roundRect">
                                <a:avLst>
                                  <a:gd name="adj" fmla="val 16667"/>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8.9pt;margin-top:147.45pt;width:490.35pt;height:4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" filled="f" strokecolor="#d8d8d8 [2732]">
                      <v:stroke dashstyle="dash"/>
                    </v:roundrect>
                  </w:pict>
                </mc:Fallback>
              </mc:AlternateContent>
            </w:r>
            <w:r>
              <w:rPr>
                <w:rFonts w:cs="Times New Roman"/>
                <w:noProof/>
                <w:sz w:val="18"/>
                <w:szCs w:val="18"/>
                <w:lang w:eastAsia="ru-RU"/>
              </w:rPr>
              <mc:AlternateContent>
                <mc:Choice Requires="wps">
                  <w:drawing>
                    <wp:anchor distT="0" distB="0" distL="114300" distR="114300" simplePos="0" relativeHeight="251662336" behindDoc="0" locked="0" layoutInCell="1" allowOverlap="1" wp14:anchorId="1EEEAEE1" wp14:editId="45B7AC01">
                      <wp:simplePos x="0" y="0"/>
                      <wp:positionH relativeFrom="column">
                        <wp:posOffset>-113030</wp:posOffset>
                      </wp:positionH>
                      <wp:positionV relativeFrom="paragraph">
                        <wp:posOffset>4810760</wp:posOffset>
                      </wp:positionV>
                      <wp:extent cx="6227445" cy="589280"/>
                      <wp:effectExtent l="1270" t="0" r="6985" b="1016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445" cy="589280"/>
                              </a:xfrm>
                              <a:prstGeom prst="roundRect">
                                <a:avLst>
                                  <a:gd name="adj" fmla="val 16667"/>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8.9pt;margin-top:378.8pt;width:490.35pt;height:4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" filled="f" strokecolor="#d8d8d8 [2732]">
                      <v:stroke dashstyle="dash"/>
                    </v:roundrect>
                  </w:pict>
                </mc:Fallback>
              </mc:AlternateContent>
            </w:r>
            <w:r>
              <w:rPr>
                <w:rFonts w:cs="Times New Roman"/>
                <w:noProof/>
                <w:sz w:val="18"/>
                <w:szCs w:val="18"/>
                <w:lang w:eastAsia="ru-RU"/>
              </w:rPr>
              <mc:AlternateContent>
                <mc:Choice Requires="wps">
                  <w:drawing>
                    <wp:anchor distT="0" distB="0" distL="114300" distR="114300" simplePos="0" relativeHeight="251670528" behindDoc="0" locked="0" layoutInCell="1" allowOverlap="1" wp14:anchorId="324E7A08" wp14:editId="07AC4C51">
                      <wp:simplePos x="0" y="0"/>
                      <wp:positionH relativeFrom="column">
                        <wp:posOffset>-104775</wp:posOffset>
                      </wp:positionH>
                      <wp:positionV relativeFrom="paragraph">
                        <wp:posOffset>5400040</wp:posOffset>
                      </wp:positionV>
                      <wp:extent cx="6227445" cy="589280"/>
                      <wp:effectExtent l="9525" t="15240" r="11430" b="1778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445" cy="589280"/>
                              </a:xfrm>
                              <a:prstGeom prst="roundRect">
                                <a:avLst>
                                  <a:gd name="adj" fmla="val 16667"/>
                                </a:avLst>
                              </a:pr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8.25pt;margin-top:425.2pt;width:490.35pt;height:4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" filled="f" strokecolor="red" strokeweight="1.5pt">
                      <v:stroke dashstyle="dash"/>
                    </v:roundrect>
                  </w:pict>
                </mc:Fallback>
              </mc:AlternateContent>
            </w:r>
            <w:r w:rsidRPr="004A3D7A">
              <w:rPr>
                <w:rFonts w:cs="Times New Roman"/>
                <w:noProof/>
                <w:sz w:val="18"/>
                <w:szCs w:val="18"/>
                <w:lang w:eastAsia="ru-RU"/>
              </w:rPr>
              <w:drawing>
                <wp:inline distT="0" distB="0" distL="0" distR="0" wp14:anchorId="77F876DF" wp14:editId="11F532BD">
                  <wp:extent cx="3212003" cy="7571509"/>
                  <wp:effectExtent l="1905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643" w:type="dxa"/>
          </w:tcPr>
          <w:p w:rsidR="00A44E5D" w:rsidRPr="00F06B41" w:rsidRDefault="00A44E5D" w:rsidP="00A44E5D">
            <w:pPr>
              <w:spacing w:after="120"/>
              <w:jc w:val="right"/>
              <w:rPr>
                <w:rFonts w:cs="Times New Roman"/>
                <w:sz w:val="18"/>
                <w:szCs w:val="18"/>
              </w:rPr>
            </w:pPr>
            <w:r w:rsidRPr="004A3D7A">
              <w:rPr>
                <w:rFonts w:cs="Times New Roman"/>
                <w:noProof/>
                <w:sz w:val="18"/>
                <w:szCs w:val="18"/>
                <w:lang w:eastAsia="ru-RU"/>
              </w:rPr>
              <w:drawing>
                <wp:inline distT="0" distB="0" distL="0" distR="0" wp14:anchorId="06A83B87" wp14:editId="7F006CBA">
                  <wp:extent cx="2751859" cy="7514763"/>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A44E5D" w:rsidRPr="00BF42A7" w:rsidTr="00A44E5D">
        <w:tc>
          <w:tcPr>
            <w:tcW w:w="5353" w:type="dxa"/>
          </w:tcPr>
          <w:p w:rsidR="00A44E5D" w:rsidRDefault="00A44E5D" w:rsidP="00A44E5D">
            <w:pPr>
              <w:spacing w:after="120"/>
              <w:rPr>
                <w:rFonts w:cs="Times New Roman"/>
                <w:i/>
                <w:sz w:val="18"/>
                <w:szCs w:val="18"/>
              </w:rPr>
            </w:pPr>
            <w:r>
              <w:rPr>
                <w:rFonts w:cs="Times New Roman"/>
                <w:i/>
                <w:sz w:val="18"/>
                <w:szCs w:val="18"/>
              </w:rPr>
              <w:t>* без учета оптовой и розничной торговли</w:t>
            </w:r>
          </w:p>
          <w:p w:rsidR="00A44E5D" w:rsidRPr="0034701E" w:rsidRDefault="00A44E5D" w:rsidP="00A44E5D">
            <w:pPr>
              <w:spacing w:after="120"/>
              <w:rPr>
                <w:rFonts w:cs="Times New Roman"/>
                <w:i/>
                <w:sz w:val="18"/>
                <w:szCs w:val="18"/>
              </w:rPr>
            </w:pPr>
            <w:r w:rsidRPr="00BF42A7">
              <w:rPr>
                <w:rFonts w:cs="Times New Roman"/>
                <w:i/>
                <w:sz w:val="18"/>
                <w:szCs w:val="18"/>
              </w:rPr>
              <w:t>Источник</w:t>
            </w:r>
            <w:r w:rsidRPr="0034701E">
              <w:rPr>
                <w:rFonts w:cs="Times New Roman"/>
                <w:i/>
                <w:sz w:val="18"/>
                <w:szCs w:val="18"/>
              </w:rPr>
              <w:t xml:space="preserve">: </w:t>
            </w:r>
            <w:r>
              <w:rPr>
                <w:rFonts w:cs="Times New Roman"/>
                <w:i/>
                <w:sz w:val="18"/>
                <w:szCs w:val="18"/>
              </w:rPr>
              <w:t>СПАРК, ФНС РФ, расчеты НИФИ</w:t>
            </w:r>
          </w:p>
        </w:tc>
        <w:tc>
          <w:tcPr>
            <w:tcW w:w="4643" w:type="dxa"/>
          </w:tcPr>
          <w:p w:rsidR="00A44E5D" w:rsidRPr="0034701E" w:rsidRDefault="00A44E5D" w:rsidP="00A44E5D">
            <w:pPr>
              <w:spacing w:after="120"/>
              <w:jc w:val="right"/>
              <w:rPr>
                <w:rFonts w:cs="Times New Roman"/>
                <w:i/>
                <w:sz w:val="18"/>
                <w:szCs w:val="18"/>
              </w:rPr>
            </w:pPr>
          </w:p>
        </w:tc>
      </w:tr>
    </w:tbl>
    <w:p w:rsidR="00A44E5D" w:rsidRDefault="00A44E5D" w:rsidP="00EE4522">
      <w:pPr>
        <w:spacing w:after="120"/>
        <w:jc w:val="both"/>
        <w:rPr>
          <w:rFonts w:ascii="Times New Roman" w:hAnsi="Times New Roman" w:cs="Times New Roman"/>
          <w:sz w:val="24"/>
          <w:szCs w:val="24"/>
        </w:rPr>
      </w:pPr>
    </w:p>
    <w:p w:rsidR="00B35057" w:rsidRDefault="00B35057" w:rsidP="00EE4522">
      <w:pPr>
        <w:spacing w:after="120"/>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5353"/>
        <w:gridCol w:w="4643"/>
      </w:tblGrid>
      <w:tr w:rsidR="00A44E5D" w:rsidRPr="00C76F37" w:rsidTr="00A44E5D">
        <w:tc>
          <w:tcPr>
            <w:tcW w:w="9996" w:type="dxa"/>
            <w:gridSpan w:val="2"/>
          </w:tcPr>
          <w:p w:rsidR="00A44E5D" w:rsidRPr="00C76F37" w:rsidRDefault="00A44E5D" w:rsidP="00EE4522">
            <w:pPr>
              <w:spacing w:after="120"/>
              <w:ind w:firstLine="709"/>
              <w:jc w:val="center"/>
              <w:rPr>
                <w:rFonts w:cs="Times New Roman"/>
                <w:b/>
                <w:i/>
                <w:sz w:val="18"/>
                <w:szCs w:val="18"/>
              </w:rPr>
            </w:pPr>
            <w:r w:rsidRPr="00C76F37">
              <w:rPr>
                <w:rFonts w:cs="Times New Roman"/>
                <w:b/>
                <w:i/>
                <w:sz w:val="18"/>
                <w:szCs w:val="18"/>
              </w:rPr>
              <w:lastRenderedPageBreak/>
              <w:t>Отношение себестоимости к выручке в 2013-2014 гг., %</w:t>
            </w:r>
          </w:p>
        </w:tc>
      </w:tr>
      <w:tr w:rsidR="00A44E5D" w:rsidTr="00A44E5D">
        <w:tc>
          <w:tcPr>
            <w:tcW w:w="9996" w:type="dxa"/>
            <w:gridSpan w:val="2"/>
          </w:tcPr>
          <w:p w:rsidR="00A44E5D" w:rsidRPr="00F06B41" w:rsidRDefault="00A44E5D" w:rsidP="00A44E5D">
            <w:pPr>
              <w:spacing w:after="120"/>
              <w:rPr>
                <w:rFonts w:cs="Times New Roman"/>
                <w:sz w:val="18"/>
                <w:szCs w:val="18"/>
              </w:rPr>
            </w:pPr>
            <w:r w:rsidRPr="00AA1602">
              <w:rPr>
                <w:rFonts w:cs="Times New Roman"/>
                <w:noProof/>
                <w:sz w:val="18"/>
                <w:szCs w:val="18"/>
                <w:lang w:eastAsia="ru-RU"/>
              </w:rPr>
              <w:drawing>
                <wp:inline distT="0" distB="0" distL="0" distR="0" wp14:anchorId="4E580EBC" wp14:editId="233A232E">
                  <wp:extent cx="6373091" cy="5521036"/>
                  <wp:effectExtent l="0" t="0" r="0" b="0"/>
                  <wp:docPr id="16"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A44E5D" w:rsidRPr="00BF42A7" w:rsidTr="00A44E5D">
        <w:tc>
          <w:tcPr>
            <w:tcW w:w="5353" w:type="dxa"/>
          </w:tcPr>
          <w:p w:rsidR="00A44E5D" w:rsidRPr="0034701E" w:rsidRDefault="00A44E5D" w:rsidP="00A44E5D">
            <w:pPr>
              <w:spacing w:after="120"/>
              <w:ind w:firstLine="709"/>
              <w:rPr>
                <w:rFonts w:cs="Times New Roman"/>
                <w:i/>
                <w:sz w:val="18"/>
                <w:szCs w:val="18"/>
              </w:rPr>
            </w:pPr>
            <w:r w:rsidRPr="00BF42A7">
              <w:rPr>
                <w:rFonts w:cs="Times New Roman"/>
                <w:i/>
                <w:sz w:val="18"/>
                <w:szCs w:val="18"/>
              </w:rPr>
              <w:t>Источник</w:t>
            </w:r>
            <w:r w:rsidRPr="0034701E">
              <w:rPr>
                <w:rFonts w:cs="Times New Roman"/>
                <w:i/>
                <w:sz w:val="18"/>
                <w:szCs w:val="18"/>
              </w:rPr>
              <w:t xml:space="preserve">: </w:t>
            </w:r>
            <w:r>
              <w:rPr>
                <w:rFonts w:cs="Times New Roman"/>
                <w:i/>
                <w:sz w:val="18"/>
                <w:szCs w:val="18"/>
              </w:rPr>
              <w:t>СПАРК, расчеты НИФИ</w:t>
            </w:r>
          </w:p>
        </w:tc>
        <w:tc>
          <w:tcPr>
            <w:tcW w:w="4643" w:type="dxa"/>
          </w:tcPr>
          <w:p w:rsidR="00A44E5D" w:rsidRPr="0034701E" w:rsidRDefault="00A44E5D" w:rsidP="00A44E5D">
            <w:pPr>
              <w:spacing w:after="120"/>
              <w:jc w:val="right"/>
              <w:rPr>
                <w:rFonts w:cs="Times New Roman"/>
                <w:i/>
                <w:sz w:val="18"/>
                <w:szCs w:val="18"/>
              </w:rPr>
            </w:pPr>
          </w:p>
        </w:tc>
      </w:tr>
    </w:tbl>
    <w:p w:rsidR="00A44E5D" w:rsidRDefault="00A44E5D" w:rsidP="00B35057">
      <w:pPr>
        <w:spacing w:after="120" w:line="240" w:lineRule="auto"/>
        <w:ind w:firstLine="709"/>
        <w:jc w:val="both"/>
        <w:rPr>
          <w:rFonts w:ascii="Times New Roman" w:hAnsi="Times New Roman" w:cs="Times New Roman"/>
          <w:sz w:val="24"/>
          <w:szCs w:val="24"/>
        </w:rPr>
      </w:pPr>
    </w:p>
    <w:p w:rsidR="00A44E5D" w:rsidRPr="00D50C42" w:rsidRDefault="00A44E5D" w:rsidP="00B35057">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Впрочем, и в других странах нагрузка на нефтяной сектор обычно более высокая. В США эффективная ставка налога на доходы для нефтегазовых компаний составляет 41,3% в среднем за период 2010-2014 гг., что почти в два раза выше, чем в не менее прибыльной фармацевтике. Тем не менее, это не помешало президенту Обаме заявить о возможности отмены ряда льгот, позволяющих американским нефтяным компаниям снижать налогооблагаемую прибыль.</w:t>
      </w:r>
    </w:p>
    <w:p w:rsidR="00A44E5D" w:rsidRPr="00D50C42" w:rsidRDefault="00A44E5D" w:rsidP="00B35057">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Сравнивать российские компании с </w:t>
      </w:r>
      <w:proofErr w:type="gramStart"/>
      <w:r w:rsidRPr="00D50C42">
        <w:rPr>
          <w:rFonts w:ascii="Times New Roman" w:hAnsi="Times New Roman" w:cs="Times New Roman"/>
          <w:sz w:val="26"/>
          <w:szCs w:val="26"/>
        </w:rPr>
        <w:t>зарубежными</w:t>
      </w:r>
      <w:proofErr w:type="gramEnd"/>
      <w:r w:rsidRPr="00D50C42">
        <w:rPr>
          <w:rFonts w:ascii="Times New Roman" w:hAnsi="Times New Roman" w:cs="Times New Roman"/>
          <w:sz w:val="26"/>
          <w:szCs w:val="26"/>
        </w:rPr>
        <w:t xml:space="preserve"> по отчислениям по налогу на прибыль не совсем корректно. Российская налоговая система в большей мере </w:t>
      </w:r>
      <w:r w:rsidR="007828CD">
        <w:rPr>
          <w:rFonts w:ascii="Times New Roman" w:hAnsi="Times New Roman" w:cs="Times New Roman"/>
          <w:sz w:val="26"/>
          <w:szCs w:val="26"/>
        </w:rPr>
        <w:t xml:space="preserve">ориентирована </w:t>
      </w:r>
      <w:r w:rsidRPr="00D50C42">
        <w:rPr>
          <w:rFonts w:ascii="Times New Roman" w:hAnsi="Times New Roman" w:cs="Times New Roman"/>
          <w:sz w:val="26"/>
          <w:szCs w:val="26"/>
        </w:rPr>
        <w:t>на контроль и обложение не прибыли, которая компаниями минимизируется, а трансакций, косвенно подтверждающи</w:t>
      </w:r>
      <w:r w:rsidR="007828CD">
        <w:rPr>
          <w:rFonts w:ascii="Times New Roman" w:hAnsi="Times New Roman" w:cs="Times New Roman"/>
          <w:sz w:val="26"/>
          <w:szCs w:val="26"/>
        </w:rPr>
        <w:t>х</w:t>
      </w:r>
      <w:r w:rsidRPr="00D50C42">
        <w:rPr>
          <w:rFonts w:ascii="Times New Roman" w:hAnsi="Times New Roman" w:cs="Times New Roman"/>
          <w:sz w:val="26"/>
          <w:szCs w:val="26"/>
        </w:rPr>
        <w:t xml:space="preserve"> наличие экономической активности и являющихся более доступными для налоговых органов. Сопоставление налогов к выручке компании показывает достаточно высокий уровень нагрузки на российский нефтегазовый бизнес, однако положительная динамика развития отрасли говорит о том, что такой уровень нагрузки является более-менее приемлемым и, в </w:t>
      </w:r>
      <w:r w:rsidRPr="00D50C42">
        <w:rPr>
          <w:rFonts w:ascii="Times New Roman" w:hAnsi="Times New Roman" w:cs="Times New Roman"/>
          <w:sz w:val="26"/>
          <w:szCs w:val="26"/>
        </w:rPr>
        <w:lastRenderedPageBreak/>
        <w:t>тоже время, якобы имеющие место налоговые преференции зарубежных компаний не приводят однозначно к росту объемов добычи и запасов ресурсов.</w:t>
      </w:r>
    </w:p>
    <w:p w:rsidR="00A44E5D" w:rsidRPr="00D50C42" w:rsidRDefault="00A44E5D" w:rsidP="00B35057">
      <w:pPr>
        <w:spacing w:after="120" w:line="240" w:lineRule="auto"/>
        <w:ind w:firstLine="709"/>
        <w:jc w:val="both"/>
        <w:rPr>
          <w:rFonts w:ascii="Times New Roman" w:hAnsi="Times New Roman" w:cs="Times New Roman"/>
          <w:sz w:val="26"/>
          <w:szCs w:val="26"/>
        </w:rPr>
      </w:pPr>
      <w:proofErr w:type="gramStart"/>
      <w:r w:rsidRPr="00D50C42">
        <w:rPr>
          <w:rFonts w:ascii="Times New Roman" w:hAnsi="Times New Roman" w:cs="Times New Roman"/>
          <w:sz w:val="26"/>
          <w:szCs w:val="26"/>
        </w:rPr>
        <w:t>Поэтому систему налогообложения минерально-сырьевого сектора стоит рассматривать как отличную от режима налогообложения в других секторах экономики, поскольку в ней формируются значительные рентные доходы, сопряженные, впрочем, с повышенными инвестиционными рисками, обусловленными проведением поисково-разведочных работ, высоким уровнем капиталоемкости, большим временным разрывом между осуществлением затрат и производством, а также со значительными колебаниями цен на минеральное сырье.</w:t>
      </w:r>
      <w:proofErr w:type="gramEnd"/>
    </w:p>
    <w:p w:rsidR="00A44E5D" w:rsidRDefault="00A44E5D" w:rsidP="00A44E5D">
      <w:pPr>
        <w:spacing w:after="120"/>
        <w:ind w:firstLine="709"/>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928"/>
        <w:gridCol w:w="5068"/>
      </w:tblGrid>
      <w:tr w:rsidR="00A44E5D" w:rsidRPr="00C76F37" w:rsidTr="00A44E5D">
        <w:tc>
          <w:tcPr>
            <w:tcW w:w="4928" w:type="dxa"/>
          </w:tcPr>
          <w:p w:rsidR="00A44E5D" w:rsidRPr="00C76F37" w:rsidRDefault="00A44E5D" w:rsidP="00A44E5D">
            <w:pPr>
              <w:spacing w:after="120"/>
              <w:rPr>
                <w:rFonts w:cs="Times New Roman"/>
                <w:b/>
                <w:i/>
                <w:sz w:val="18"/>
                <w:szCs w:val="18"/>
              </w:rPr>
            </w:pPr>
            <w:r>
              <w:rPr>
                <w:rFonts w:cs="Times New Roman"/>
                <w:b/>
                <w:i/>
                <w:sz w:val="18"/>
                <w:szCs w:val="18"/>
              </w:rPr>
              <w:t>Средняя эффективная ставка по налогу на доходы в отдельных отраслях США, 2010-2014 гг.</w:t>
            </w:r>
          </w:p>
        </w:tc>
        <w:tc>
          <w:tcPr>
            <w:tcW w:w="5068" w:type="dxa"/>
          </w:tcPr>
          <w:p w:rsidR="00A44E5D" w:rsidRPr="00941D26" w:rsidRDefault="00A44E5D" w:rsidP="00A44E5D">
            <w:pPr>
              <w:spacing w:after="120"/>
              <w:jc w:val="right"/>
              <w:rPr>
                <w:rFonts w:cs="Times New Roman"/>
                <w:b/>
                <w:i/>
                <w:sz w:val="18"/>
                <w:szCs w:val="18"/>
              </w:rPr>
            </w:pPr>
            <w:r>
              <w:rPr>
                <w:rFonts w:cs="Times New Roman"/>
                <w:b/>
                <w:i/>
                <w:sz w:val="18"/>
                <w:szCs w:val="18"/>
              </w:rPr>
              <w:t>Налоговая нагрузка и амортизационные списания нефтяных компаний к выручке в национальной валюте</w:t>
            </w:r>
          </w:p>
        </w:tc>
      </w:tr>
      <w:tr w:rsidR="00A44E5D" w:rsidTr="00A44E5D">
        <w:tc>
          <w:tcPr>
            <w:tcW w:w="4928" w:type="dxa"/>
          </w:tcPr>
          <w:p w:rsidR="00A44E5D" w:rsidRPr="00F06B41" w:rsidRDefault="00A44E5D" w:rsidP="00A44E5D">
            <w:pPr>
              <w:spacing w:after="120"/>
              <w:jc w:val="both"/>
              <w:rPr>
                <w:rFonts w:cs="Times New Roman"/>
                <w:sz w:val="18"/>
                <w:szCs w:val="18"/>
              </w:rPr>
            </w:pPr>
            <w:r w:rsidRPr="009E6132">
              <w:rPr>
                <w:rFonts w:cs="Times New Roman"/>
                <w:noProof/>
                <w:sz w:val="18"/>
                <w:szCs w:val="18"/>
                <w:lang w:eastAsia="ru-RU"/>
              </w:rPr>
              <w:drawing>
                <wp:inline distT="0" distB="0" distL="0" distR="0" wp14:anchorId="0864703C" wp14:editId="10325D14">
                  <wp:extent cx="2937164" cy="2431473"/>
                  <wp:effectExtent l="0" t="0" r="0"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5068" w:type="dxa"/>
          </w:tcPr>
          <w:tbl>
            <w:tblPr>
              <w:tblStyle w:val="-110"/>
              <w:tblW w:w="4995" w:type="dxa"/>
              <w:tblLayout w:type="fixed"/>
              <w:tblLook w:val="04A0" w:firstRow="1" w:lastRow="0" w:firstColumn="1" w:lastColumn="0" w:noHBand="0" w:noVBand="1"/>
            </w:tblPr>
            <w:tblGrid>
              <w:gridCol w:w="2018"/>
              <w:gridCol w:w="709"/>
              <w:gridCol w:w="850"/>
              <w:gridCol w:w="709"/>
              <w:gridCol w:w="709"/>
            </w:tblGrid>
            <w:tr w:rsidR="00A44E5D" w:rsidRPr="00941D26" w:rsidTr="00A44E5D">
              <w:trPr>
                <w:cnfStyle w:val="100000000000" w:firstRow="1" w:lastRow="0" w:firstColumn="0" w:lastColumn="0" w:oddVBand="0" w:evenVBand="0" w:oddHBand="0" w:evenHBand="0" w:firstRowFirstColumn="0" w:firstRowLastColumn="0" w:lastRowFirstColumn="0" w:lastRowLastColumn="0"/>
                <w:cantSplit/>
                <w:trHeight w:val="1695"/>
              </w:trPr>
              <w:tc>
                <w:tcPr>
                  <w:cnfStyle w:val="001000000000" w:firstRow="0" w:lastRow="0" w:firstColumn="1" w:lastColumn="0" w:oddVBand="0" w:evenVBand="0" w:oddHBand="0" w:evenHBand="0" w:firstRowFirstColumn="0" w:firstRowLastColumn="0" w:lastRowFirstColumn="0" w:lastRowLastColumn="0"/>
                  <w:tcW w:w="2018" w:type="dxa"/>
                  <w:hideMark/>
                </w:tcPr>
                <w:p w:rsidR="00A44E5D" w:rsidRPr="00941D26" w:rsidRDefault="00A44E5D" w:rsidP="00A44E5D">
                  <w:pPr>
                    <w:jc w:val="both"/>
                    <w:rPr>
                      <w:rFonts w:ascii="Times New Roman" w:eastAsia="Times New Roman" w:hAnsi="Times New Roman" w:cs="Times New Roman"/>
                      <w:b w:val="0"/>
                      <w:color w:val="000000"/>
                      <w:sz w:val="20"/>
                      <w:szCs w:val="20"/>
                    </w:rPr>
                  </w:pPr>
                  <w:r w:rsidRPr="00941D26">
                    <w:rPr>
                      <w:rFonts w:ascii="Times New Roman" w:eastAsia="Times New Roman" w:hAnsi="Times New Roman" w:cs="Times New Roman"/>
                      <w:b w:val="0"/>
                      <w:color w:val="000000"/>
                      <w:sz w:val="20"/>
                      <w:szCs w:val="24"/>
                    </w:rPr>
                    <w:t> </w:t>
                  </w:r>
                </w:p>
              </w:tc>
              <w:tc>
                <w:tcPr>
                  <w:tcW w:w="709" w:type="dxa"/>
                  <w:textDirection w:val="btLr"/>
                  <w:hideMark/>
                </w:tcPr>
                <w:p w:rsidR="00A44E5D" w:rsidRDefault="00A44E5D" w:rsidP="00A44E5D">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4"/>
                      <w:lang w:val="en-US"/>
                    </w:rPr>
                  </w:pPr>
                  <w:r w:rsidRPr="00941D26">
                    <w:rPr>
                      <w:rFonts w:ascii="Times New Roman" w:eastAsia="Times New Roman" w:hAnsi="Times New Roman" w:cs="Times New Roman"/>
                      <w:b w:val="0"/>
                      <w:color w:val="000000"/>
                      <w:sz w:val="20"/>
                      <w:szCs w:val="24"/>
                    </w:rPr>
                    <w:t xml:space="preserve">Роснефть, </w:t>
                  </w:r>
                </w:p>
                <w:p w:rsidR="00A44E5D" w:rsidRPr="00941D26" w:rsidRDefault="00A44E5D" w:rsidP="00A44E5D">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941D26">
                    <w:rPr>
                      <w:rFonts w:ascii="Times New Roman" w:eastAsia="Times New Roman" w:hAnsi="Times New Roman" w:cs="Times New Roman"/>
                      <w:b w:val="0"/>
                      <w:color w:val="000000"/>
                      <w:sz w:val="20"/>
                      <w:szCs w:val="24"/>
                    </w:rPr>
                    <w:t>млрд. RUR</w:t>
                  </w:r>
                </w:p>
              </w:tc>
              <w:tc>
                <w:tcPr>
                  <w:tcW w:w="850" w:type="dxa"/>
                  <w:textDirection w:val="btLr"/>
                  <w:hideMark/>
                </w:tcPr>
                <w:p w:rsidR="00A44E5D" w:rsidRDefault="00A44E5D" w:rsidP="00A44E5D">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val="en-US"/>
                    </w:rPr>
                  </w:pPr>
                  <w:r w:rsidRPr="00941D26">
                    <w:rPr>
                      <w:rFonts w:ascii="Times New Roman" w:eastAsia="Times New Roman" w:hAnsi="Times New Roman" w:cs="Times New Roman"/>
                      <w:b w:val="0"/>
                      <w:color w:val="000000"/>
                      <w:sz w:val="20"/>
                      <w:szCs w:val="20"/>
                      <w:lang w:val="en-US"/>
                    </w:rPr>
                    <w:t xml:space="preserve">Canadian Natural Resources, </w:t>
                  </w:r>
                </w:p>
                <w:p w:rsidR="00A44E5D" w:rsidRPr="00941D26" w:rsidRDefault="00A44E5D" w:rsidP="00A44E5D">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val="en-US"/>
                    </w:rPr>
                  </w:pPr>
                  <w:proofErr w:type="spellStart"/>
                  <w:proofErr w:type="gramStart"/>
                  <w:r w:rsidRPr="00941D26">
                    <w:rPr>
                      <w:rFonts w:ascii="Times New Roman" w:eastAsia="Times New Roman" w:hAnsi="Times New Roman" w:cs="Times New Roman"/>
                      <w:b w:val="0"/>
                      <w:color w:val="000000"/>
                      <w:sz w:val="20"/>
                      <w:szCs w:val="20"/>
                      <w:lang w:val="en-US"/>
                    </w:rPr>
                    <w:t>млрд</w:t>
                  </w:r>
                  <w:proofErr w:type="spellEnd"/>
                  <w:proofErr w:type="gramEnd"/>
                  <w:r w:rsidRPr="00941D26">
                    <w:rPr>
                      <w:rFonts w:ascii="Times New Roman" w:eastAsia="Times New Roman" w:hAnsi="Times New Roman" w:cs="Times New Roman"/>
                      <w:b w:val="0"/>
                      <w:color w:val="000000"/>
                      <w:sz w:val="20"/>
                      <w:szCs w:val="20"/>
                      <w:lang w:val="en-US"/>
                    </w:rPr>
                    <w:t>. CAD</w:t>
                  </w:r>
                </w:p>
              </w:tc>
              <w:tc>
                <w:tcPr>
                  <w:tcW w:w="709" w:type="dxa"/>
                  <w:textDirection w:val="btLr"/>
                  <w:hideMark/>
                </w:tcPr>
                <w:p w:rsidR="00A44E5D" w:rsidRDefault="00A44E5D" w:rsidP="00A44E5D">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val="en-US"/>
                    </w:rPr>
                  </w:pPr>
                  <w:r w:rsidRPr="00941D26">
                    <w:rPr>
                      <w:rFonts w:ascii="Times New Roman" w:eastAsia="Times New Roman" w:hAnsi="Times New Roman" w:cs="Times New Roman"/>
                      <w:b w:val="0"/>
                      <w:color w:val="000000"/>
                      <w:sz w:val="20"/>
                      <w:szCs w:val="20"/>
                      <w:lang w:val="en-US"/>
                    </w:rPr>
                    <w:t xml:space="preserve">Statoil, </w:t>
                  </w:r>
                </w:p>
                <w:p w:rsidR="00A44E5D" w:rsidRPr="00941D26" w:rsidRDefault="00A44E5D" w:rsidP="00A44E5D">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proofErr w:type="spellStart"/>
                  <w:proofErr w:type="gramStart"/>
                  <w:r w:rsidRPr="00941D26">
                    <w:rPr>
                      <w:rFonts w:ascii="Times New Roman" w:eastAsia="Times New Roman" w:hAnsi="Times New Roman" w:cs="Times New Roman"/>
                      <w:b w:val="0"/>
                      <w:color w:val="000000"/>
                      <w:sz w:val="20"/>
                      <w:szCs w:val="20"/>
                      <w:lang w:val="en-US"/>
                    </w:rPr>
                    <w:t>млрд</w:t>
                  </w:r>
                  <w:proofErr w:type="spellEnd"/>
                  <w:proofErr w:type="gramEnd"/>
                  <w:r w:rsidRPr="00941D26">
                    <w:rPr>
                      <w:rFonts w:ascii="Times New Roman" w:eastAsia="Times New Roman" w:hAnsi="Times New Roman" w:cs="Times New Roman"/>
                      <w:b w:val="0"/>
                      <w:color w:val="000000"/>
                      <w:sz w:val="20"/>
                      <w:szCs w:val="20"/>
                      <w:lang w:val="en-US"/>
                    </w:rPr>
                    <w:t>. NOK</w:t>
                  </w:r>
                </w:p>
              </w:tc>
              <w:tc>
                <w:tcPr>
                  <w:tcW w:w="709" w:type="dxa"/>
                  <w:textDirection w:val="btLr"/>
                  <w:hideMark/>
                </w:tcPr>
                <w:p w:rsidR="00A44E5D" w:rsidRDefault="00A44E5D" w:rsidP="00A44E5D">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val="en-US"/>
                    </w:rPr>
                  </w:pPr>
                  <w:r w:rsidRPr="00941D26">
                    <w:rPr>
                      <w:rFonts w:ascii="Times New Roman" w:eastAsia="Times New Roman" w:hAnsi="Times New Roman" w:cs="Times New Roman"/>
                      <w:b w:val="0"/>
                      <w:color w:val="000000"/>
                      <w:sz w:val="20"/>
                      <w:szCs w:val="20"/>
                      <w:lang w:val="en-US"/>
                    </w:rPr>
                    <w:t xml:space="preserve">Marathon, </w:t>
                  </w:r>
                </w:p>
                <w:p w:rsidR="00A44E5D" w:rsidRPr="00941D26" w:rsidRDefault="00A44E5D" w:rsidP="00A44E5D">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proofErr w:type="spellStart"/>
                  <w:proofErr w:type="gramStart"/>
                  <w:r w:rsidRPr="00941D26">
                    <w:rPr>
                      <w:rFonts w:ascii="Times New Roman" w:eastAsia="Times New Roman" w:hAnsi="Times New Roman" w:cs="Times New Roman"/>
                      <w:b w:val="0"/>
                      <w:color w:val="000000"/>
                      <w:sz w:val="20"/>
                      <w:szCs w:val="20"/>
                      <w:lang w:val="en-US"/>
                    </w:rPr>
                    <w:t>млрд</w:t>
                  </w:r>
                  <w:proofErr w:type="spellEnd"/>
                  <w:proofErr w:type="gramEnd"/>
                  <w:r w:rsidRPr="00941D26">
                    <w:rPr>
                      <w:rFonts w:ascii="Times New Roman" w:eastAsia="Times New Roman" w:hAnsi="Times New Roman" w:cs="Times New Roman"/>
                      <w:b w:val="0"/>
                      <w:color w:val="000000"/>
                      <w:sz w:val="20"/>
                      <w:szCs w:val="20"/>
                      <w:lang w:val="en-US"/>
                    </w:rPr>
                    <w:t>. USD</w:t>
                  </w:r>
                </w:p>
              </w:tc>
            </w:tr>
            <w:tr w:rsidR="00A44E5D" w:rsidRPr="00941D26" w:rsidTr="00A44E5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018" w:type="dxa"/>
                  <w:hideMark/>
                </w:tcPr>
                <w:p w:rsidR="00A44E5D" w:rsidRPr="00941D26" w:rsidRDefault="00A44E5D" w:rsidP="00A44E5D">
                  <w:pPr>
                    <w:rPr>
                      <w:rFonts w:ascii="Times New Roman" w:eastAsia="Times New Roman" w:hAnsi="Times New Roman" w:cs="Times New Roman"/>
                      <w:b w:val="0"/>
                      <w:color w:val="000000"/>
                      <w:sz w:val="20"/>
                      <w:szCs w:val="20"/>
                    </w:rPr>
                  </w:pPr>
                  <w:r w:rsidRPr="00941D26">
                    <w:rPr>
                      <w:rFonts w:ascii="Times New Roman" w:eastAsia="Times New Roman" w:hAnsi="Times New Roman" w:cs="Times New Roman"/>
                      <w:b w:val="0"/>
                      <w:color w:val="000000"/>
                      <w:sz w:val="20"/>
                      <w:szCs w:val="24"/>
                    </w:rPr>
                    <w:t>Выручка</w:t>
                  </w:r>
                </w:p>
              </w:tc>
              <w:tc>
                <w:tcPr>
                  <w:tcW w:w="709" w:type="dxa"/>
                  <w:vAlign w:val="center"/>
                  <w:hideMark/>
                </w:tcPr>
                <w:p w:rsidR="00A44E5D" w:rsidRPr="00941D26"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41D26">
                    <w:rPr>
                      <w:rFonts w:ascii="Times New Roman" w:eastAsia="Times New Roman" w:hAnsi="Times New Roman" w:cs="Times New Roman"/>
                      <w:color w:val="000000"/>
                      <w:sz w:val="20"/>
                      <w:szCs w:val="24"/>
                    </w:rPr>
                    <w:t>5503</w:t>
                  </w:r>
                </w:p>
              </w:tc>
              <w:tc>
                <w:tcPr>
                  <w:tcW w:w="850" w:type="dxa"/>
                  <w:vAlign w:val="center"/>
                  <w:hideMark/>
                </w:tcPr>
                <w:p w:rsidR="00A44E5D" w:rsidRPr="00941D26"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41D26">
                    <w:rPr>
                      <w:rFonts w:ascii="Times New Roman" w:eastAsia="Times New Roman" w:hAnsi="Times New Roman" w:cs="Times New Roman"/>
                      <w:color w:val="000000"/>
                      <w:sz w:val="20"/>
                      <w:szCs w:val="24"/>
                    </w:rPr>
                    <w:t>21,3</w:t>
                  </w:r>
                </w:p>
              </w:tc>
              <w:tc>
                <w:tcPr>
                  <w:tcW w:w="709" w:type="dxa"/>
                  <w:vAlign w:val="center"/>
                  <w:hideMark/>
                </w:tcPr>
                <w:p w:rsidR="00A44E5D" w:rsidRPr="00941D26"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41D26">
                    <w:rPr>
                      <w:rFonts w:ascii="Times New Roman" w:eastAsia="Times New Roman" w:hAnsi="Times New Roman" w:cs="Times New Roman"/>
                      <w:color w:val="000000"/>
                      <w:sz w:val="20"/>
                      <w:szCs w:val="24"/>
                    </w:rPr>
                    <w:t>622,7</w:t>
                  </w:r>
                </w:p>
              </w:tc>
              <w:tc>
                <w:tcPr>
                  <w:tcW w:w="709" w:type="dxa"/>
                  <w:vAlign w:val="center"/>
                  <w:hideMark/>
                </w:tcPr>
                <w:p w:rsidR="00A44E5D" w:rsidRPr="00941D26"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41D26">
                    <w:rPr>
                      <w:rFonts w:ascii="Times New Roman" w:eastAsia="Times New Roman" w:hAnsi="Times New Roman" w:cs="Times New Roman"/>
                      <w:color w:val="000000"/>
                      <w:sz w:val="20"/>
                      <w:szCs w:val="24"/>
                    </w:rPr>
                    <w:t>11,2</w:t>
                  </w:r>
                </w:p>
              </w:tc>
            </w:tr>
            <w:tr w:rsidR="00A44E5D" w:rsidRPr="00941D26" w:rsidTr="00A44E5D">
              <w:trPr>
                <w:trHeight w:val="270"/>
              </w:trPr>
              <w:tc>
                <w:tcPr>
                  <w:cnfStyle w:val="001000000000" w:firstRow="0" w:lastRow="0" w:firstColumn="1" w:lastColumn="0" w:oddVBand="0" w:evenVBand="0" w:oddHBand="0" w:evenHBand="0" w:firstRowFirstColumn="0" w:firstRowLastColumn="0" w:lastRowFirstColumn="0" w:lastRowLastColumn="0"/>
                  <w:tcW w:w="2018" w:type="dxa"/>
                  <w:hideMark/>
                </w:tcPr>
                <w:p w:rsidR="00A44E5D" w:rsidRPr="00941D26" w:rsidRDefault="00A44E5D" w:rsidP="00A44E5D">
                  <w:pPr>
                    <w:rPr>
                      <w:rFonts w:ascii="Times New Roman" w:eastAsia="Times New Roman" w:hAnsi="Times New Roman" w:cs="Times New Roman"/>
                      <w:b w:val="0"/>
                      <w:color w:val="000000"/>
                      <w:sz w:val="20"/>
                      <w:szCs w:val="20"/>
                    </w:rPr>
                  </w:pPr>
                  <w:r w:rsidRPr="00941D26">
                    <w:rPr>
                      <w:rFonts w:ascii="Times New Roman" w:eastAsia="Times New Roman" w:hAnsi="Times New Roman" w:cs="Times New Roman"/>
                      <w:b w:val="0"/>
                      <w:color w:val="000000"/>
                      <w:sz w:val="20"/>
                      <w:szCs w:val="24"/>
                    </w:rPr>
                    <w:t>Амортизация</w:t>
                  </w:r>
                </w:p>
              </w:tc>
              <w:tc>
                <w:tcPr>
                  <w:tcW w:w="709" w:type="dxa"/>
                  <w:vAlign w:val="center"/>
                  <w:hideMark/>
                </w:tcPr>
                <w:p w:rsidR="00A44E5D" w:rsidRPr="00941D26"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1D26">
                    <w:rPr>
                      <w:rFonts w:ascii="Times New Roman" w:eastAsia="Times New Roman" w:hAnsi="Times New Roman" w:cs="Times New Roman"/>
                      <w:color w:val="000000"/>
                      <w:sz w:val="20"/>
                      <w:szCs w:val="24"/>
                    </w:rPr>
                    <w:t>464</w:t>
                  </w:r>
                </w:p>
              </w:tc>
              <w:tc>
                <w:tcPr>
                  <w:tcW w:w="850" w:type="dxa"/>
                  <w:vAlign w:val="center"/>
                  <w:hideMark/>
                </w:tcPr>
                <w:p w:rsidR="00A44E5D" w:rsidRPr="00941D26"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1D26">
                    <w:rPr>
                      <w:rFonts w:ascii="Times New Roman" w:eastAsia="Times New Roman" w:hAnsi="Times New Roman" w:cs="Times New Roman"/>
                      <w:color w:val="000000"/>
                      <w:sz w:val="20"/>
                      <w:szCs w:val="24"/>
                    </w:rPr>
                    <w:t>4,9</w:t>
                  </w:r>
                </w:p>
              </w:tc>
              <w:tc>
                <w:tcPr>
                  <w:tcW w:w="709" w:type="dxa"/>
                  <w:vAlign w:val="center"/>
                  <w:hideMark/>
                </w:tcPr>
                <w:p w:rsidR="00A44E5D" w:rsidRPr="00941D26"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1D26">
                    <w:rPr>
                      <w:rFonts w:ascii="Times New Roman" w:eastAsia="Times New Roman" w:hAnsi="Times New Roman" w:cs="Times New Roman"/>
                      <w:color w:val="000000"/>
                      <w:sz w:val="20"/>
                      <w:szCs w:val="24"/>
                    </w:rPr>
                    <w:t>101,4</w:t>
                  </w:r>
                </w:p>
              </w:tc>
              <w:tc>
                <w:tcPr>
                  <w:tcW w:w="709" w:type="dxa"/>
                  <w:vAlign w:val="center"/>
                  <w:hideMark/>
                </w:tcPr>
                <w:p w:rsidR="00A44E5D" w:rsidRPr="00941D26"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1D26">
                    <w:rPr>
                      <w:rFonts w:ascii="Times New Roman" w:eastAsia="Times New Roman" w:hAnsi="Times New Roman" w:cs="Times New Roman"/>
                      <w:color w:val="000000"/>
                      <w:sz w:val="20"/>
                      <w:szCs w:val="24"/>
                    </w:rPr>
                    <w:t>2,86</w:t>
                  </w:r>
                </w:p>
              </w:tc>
            </w:tr>
            <w:tr w:rsidR="00A44E5D" w:rsidRPr="00941D26" w:rsidTr="00A44E5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18" w:type="dxa"/>
                  <w:vAlign w:val="center"/>
                  <w:hideMark/>
                </w:tcPr>
                <w:p w:rsidR="00A44E5D" w:rsidRPr="00941D26" w:rsidRDefault="00A44E5D" w:rsidP="00A44E5D">
                  <w:pPr>
                    <w:rPr>
                      <w:rFonts w:ascii="Times New Roman" w:eastAsia="Times New Roman" w:hAnsi="Times New Roman" w:cs="Times New Roman"/>
                      <w:b w:val="0"/>
                      <w:color w:val="000000"/>
                      <w:sz w:val="20"/>
                      <w:szCs w:val="20"/>
                    </w:rPr>
                  </w:pPr>
                  <w:r w:rsidRPr="00941D26">
                    <w:rPr>
                      <w:rFonts w:ascii="Times New Roman" w:eastAsia="Times New Roman" w:hAnsi="Times New Roman" w:cs="Times New Roman"/>
                      <w:b w:val="0"/>
                      <w:color w:val="000000"/>
                      <w:sz w:val="20"/>
                      <w:szCs w:val="24"/>
                    </w:rPr>
                    <w:t xml:space="preserve">Рентные </w:t>
                  </w:r>
                  <w:r>
                    <w:rPr>
                      <w:rFonts w:ascii="Times New Roman" w:eastAsia="Times New Roman" w:hAnsi="Times New Roman" w:cs="Times New Roman"/>
                      <w:b w:val="0"/>
                      <w:color w:val="000000"/>
                      <w:sz w:val="20"/>
                      <w:szCs w:val="24"/>
                    </w:rPr>
                    <w:t>платежи</w:t>
                  </w:r>
                </w:p>
              </w:tc>
              <w:tc>
                <w:tcPr>
                  <w:tcW w:w="709" w:type="dxa"/>
                  <w:vAlign w:val="center"/>
                  <w:hideMark/>
                </w:tcPr>
                <w:p w:rsidR="00A44E5D" w:rsidRPr="00941D26"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41D26">
                    <w:rPr>
                      <w:rFonts w:ascii="Times New Roman" w:eastAsia="Times New Roman" w:hAnsi="Times New Roman" w:cs="Times New Roman"/>
                      <w:color w:val="000000"/>
                      <w:sz w:val="20"/>
                      <w:szCs w:val="24"/>
                    </w:rPr>
                    <w:t>2878</w:t>
                  </w:r>
                </w:p>
              </w:tc>
              <w:tc>
                <w:tcPr>
                  <w:tcW w:w="850" w:type="dxa"/>
                  <w:vAlign w:val="center"/>
                  <w:hideMark/>
                </w:tcPr>
                <w:p w:rsidR="00A44E5D" w:rsidRPr="00941D26"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41D26">
                    <w:rPr>
                      <w:rFonts w:ascii="Times New Roman" w:eastAsia="Times New Roman" w:hAnsi="Times New Roman" w:cs="Times New Roman"/>
                      <w:color w:val="000000"/>
                      <w:sz w:val="20"/>
                      <w:szCs w:val="24"/>
                    </w:rPr>
                    <w:t>2,4</w:t>
                  </w:r>
                </w:p>
              </w:tc>
              <w:tc>
                <w:tcPr>
                  <w:tcW w:w="709" w:type="dxa"/>
                  <w:vAlign w:val="center"/>
                  <w:hideMark/>
                </w:tcPr>
                <w:p w:rsidR="00A44E5D" w:rsidRPr="00941D26"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41D26">
                    <w:rPr>
                      <w:rFonts w:ascii="Times New Roman" w:eastAsia="Times New Roman" w:hAnsi="Times New Roman" w:cs="Times New Roman"/>
                      <w:color w:val="000000"/>
                      <w:sz w:val="20"/>
                      <w:szCs w:val="24"/>
                    </w:rPr>
                    <w:t>-</w:t>
                  </w:r>
                </w:p>
              </w:tc>
              <w:tc>
                <w:tcPr>
                  <w:tcW w:w="709" w:type="dxa"/>
                  <w:vAlign w:val="center"/>
                  <w:hideMark/>
                </w:tcPr>
                <w:p w:rsidR="00A44E5D" w:rsidRPr="00941D26"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41D26">
                    <w:rPr>
                      <w:rFonts w:ascii="Times New Roman" w:eastAsia="Times New Roman" w:hAnsi="Times New Roman" w:cs="Times New Roman"/>
                      <w:color w:val="000000"/>
                      <w:sz w:val="20"/>
                      <w:szCs w:val="24"/>
                    </w:rPr>
                    <w:t>0,41</w:t>
                  </w:r>
                </w:p>
              </w:tc>
            </w:tr>
            <w:tr w:rsidR="00A44E5D" w:rsidRPr="00941D26" w:rsidTr="00A44E5D">
              <w:trPr>
                <w:trHeight w:val="256"/>
              </w:trPr>
              <w:tc>
                <w:tcPr>
                  <w:cnfStyle w:val="001000000000" w:firstRow="0" w:lastRow="0" w:firstColumn="1" w:lastColumn="0" w:oddVBand="0" w:evenVBand="0" w:oddHBand="0" w:evenHBand="0" w:firstRowFirstColumn="0" w:firstRowLastColumn="0" w:lastRowFirstColumn="0" w:lastRowLastColumn="0"/>
                  <w:tcW w:w="2018" w:type="dxa"/>
                  <w:hideMark/>
                </w:tcPr>
                <w:p w:rsidR="00A44E5D" w:rsidRPr="00941D26" w:rsidRDefault="00A44E5D" w:rsidP="00A44E5D">
                  <w:pPr>
                    <w:rPr>
                      <w:rFonts w:ascii="Times New Roman" w:eastAsia="Times New Roman" w:hAnsi="Times New Roman" w:cs="Times New Roman"/>
                      <w:b w:val="0"/>
                      <w:color w:val="000000"/>
                      <w:sz w:val="20"/>
                      <w:szCs w:val="20"/>
                    </w:rPr>
                  </w:pPr>
                  <w:r w:rsidRPr="00941D26">
                    <w:rPr>
                      <w:rFonts w:ascii="Times New Roman" w:eastAsia="Times New Roman" w:hAnsi="Times New Roman" w:cs="Times New Roman"/>
                      <w:b w:val="0"/>
                      <w:color w:val="000000"/>
                      <w:sz w:val="20"/>
                      <w:szCs w:val="24"/>
                    </w:rPr>
                    <w:t>Налог на прибыль</w:t>
                  </w:r>
                </w:p>
              </w:tc>
              <w:tc>
                <w:tcPr>
                  <w:tcW w:w="709" w:type="dxa"/>
                  <w:vAlign w:val="center"/>
                  <w:hideMark/>
                </w:tcPr>
                <w:p w:rsidR="00A44E5D" w:rsidRPr="00941D26"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1D26">
                    <w:rPr>
                      <w:rFonts w:ascii="Times New Roman" w:eastAsia="Times New Roman" w:hAnsi="Times New Roman" w:cs="Times New Roman"/>
                      <w:color w:val="000000"/>
                      <w:sz w:val="20"/>
                      <w:szCs w:val="24"/>
                    </w:rPr>
                    <w:t>128</w:t>
                  </w:r>
                </w:p>
              </w:tc>
              <w:tc>
                <w:tcPr>
                  <w:tcW w:w="850" w:type="dxa"/>
                  <w:vAlign w:val="center"/>
                  <w:hideMark/>
                </w:tcPr>
                <w:p w:rsidR="00A44E5D" w:rsidRPr="00941D26"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1D26">
                    <w:rPr>
                      <w:rFonts w:ascii="Times New Roman" w:eastAsia="Times New Roman" w:hAnsi="Times New Roman" w:cs="Times New Roman"/>
                      <w:color w:val="000000"/>
                      <w:sz w:val="20"/>
                      <w:szCs w:val="24"/>
                    </w:rPr>
                    <w:t>1,2</w:t>
                  </w:r>
                </w:p>
              </w:tc>
              <w:tc>
                <w:tcPr>
                  <w:tcW w:w="709" w:type="dxa"/>
                  <w:vAlign w:val="center"/>
                  <w:hideMark/>
                </w:tcPr>
                <w:p w:rsidR="00A44E5D" w:rsidRPr="00941D26"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1D26">
                    <w:rPr>
                      <w:rFonts w:ascii="Times New Roman" w:eastAsia="Times New Roman" w:hAnsi="Times New Roman" w:cs="Times New Roman"/>
                      <w:color w:val="000000"/>
                      <w:sz w:val="20"/>
                      <w:szCs w:val="24"/>
                    </w:rPr>
                    <w:t>87,4</w:t>
                  </w:r>
                </w:p>
              </w:tc>
              <w:tc>
                <w:tcPr>
                  <w:tcW w:w="709" w:type="dxa"/>
                  <w:vAlign w:val="center"/>
                  <w:hideMark/>
                </w:tcPr>
                <w:p w:rsidR="00A44E5D" w:rsidRPr="00941D26"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1D26">
                    <w:rPr>
                      <w:rFonts w:ascii="Times New Roman" w:eastAsia="Times New Roman" w:hAnsi="Times New Roman" w:cs="Times New Roman"/>
                      <w:color w:val="000000"/>
                      <w:sz w:val="20"/>
                      <w:szCs w:val="24"/>
                    </w:rPr>
                    <w:t>0,39</w:t>
                  </w:r>
                </w:p>
              </w:tc>
            </w:tr>
            <w:tr w:rsidR="00A44E5D" w:rsidRPr="00941D26" w:rsidTr="00A44E5D">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2018" w:type="dxa"/>
                  <w:hideMark/>
                </w:tcPr>
                <w:p w:rsidR="00A44E5D" w:rsidRPr="00941D26" w:rsidRDefault="00A44E5D" w:rsidP="00A44E5D">
                  <w:pPr>
                    <w:rPr>
                      <w:rFonts w:ascii="Times New Roman" w:eastAsia="Times New Roman" w:hAnsi="Times New Roman" w:cs="Times New Roman"/>
                      <w:b w:val="0"/>
                      <w:color w:val="000000"/>
                      <w:sz w:val="20"/>
                      <w:szCs w:val="20"/>
                    </w:rPr>
                  </w:pPr>
                  <w:r w:rsidRPr="00941D26">
                    <w:rPr>
                      <w:rFonts w:ascii="Times New Roman" w:eastAsia="Times New Roman" w:hAnsi="Times New Roman" w:cs="Times New Roman"/>
                      <w:b w:val="0"/>
                      <w:color w:val="000000"/>
                      <w:sz w:val="20"/>
                      <w:szCs w:val="24"/>
                    </w:rPr>
                    <w:t>Общая налоговая нагрузка, % к выручке</w:t>
                  </w:r>
                </w:p>
              </w:tc>
              <w:tc>
                <w:tcPr>
                  <w:tcW w:w="709" w:type="dxa"/>
                  <w:vAlign w:val="center"/>
                  <w:hideMark/>
                </w:tcPr>
                <w:p w:rsidR="00A44E5D" w:rsidRPr="00941D26"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41D26">
                    <w:rPr>
                      <w:rFonts w:ascii="Times New Roman" w:eastAsia="Times New Roman" w:hAnsi="Times New Roman" w:cs="Times New Roman"/>
                      <w:color w:val="000000"/>
                      <w:sz w:val="20"/>
                      <w:szCs w:val="24"/>
                    </w:rPr>
                    <w:t>55</w:t>
                  </w:r>
                </w:p>
              </w:tc>
              <w:tc>
                <w:tcPr>
                  <w:tcW w:w="850" w:type="dxa"/>
                  <w:vAlign w:val="center"/>
                  <w:hideMark/>
                </w:tcPr>
                <w:p w:rsidR="00A44E5D" w:rsidRPr="00941D26"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41D26">
                    <w:rPr>
                      <w:rFonts w:ascii="Times New Roman" w:eastAsia="Times New Roman" w:hAnsi="Times New Roman" w:cs="Times New Roman"/>
                      <w:color w:val="000000"/>
                      <w:sz w:val="20"/>
                      <w:szCs w:val="24"/>
                    </w:rPr>
                    <w:t>17</w:t>
                  </w:r>
                </w:p>
              </w:tc>
              <w:tc>
                <w:tcPr>
                  <w:tcW w:w="709" w:type="dxa"/>
                  <w:vAlign w:val="center"/>
                  <w:hideMark/>
                </w:tcPr>
                <w:p w:rsidR="00A44E5D" w:rsidRPr="00941D26"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41D26">
                    <w:rPr>
                      <w:rFonts w:ascii="Times New Roman" w:eastAsia="Times New Roman" w:hAnsi="Times New Roman" w:cs="Times New Roman"/>
                      <w:color w:val="000000"/>
                      <w:sz w:val="20"/>
                      <w:szCs w:val="24"/>
                    </w:rPr>
                    <w:t>14</w:t>
                  </w:r>
                </w:p>
              </w:tc>
              <w:tc>
                <w:tcPr>
                  <w:tcW w:w="709" w:type="dxa"/>
                  <w:vAlign w:val="center"/>
                  <w:hideMark/>
                </w:tcPr>
                <w:p w:rsidR="00A44E5D" w:rsidRPr="00941D26"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41D26">
                    <w:rPr>
                      <w:rFonts w:ascii="Times New Roman" w:eastAsia="Times New Roman" w:hAnsi="Times New Roman" w:cs="Times New Roman"/>
                      <w:color w:val="000000"/>
                      <w:sz w:val="20"/>
                      <w:szCs w:val="24"/>
                    </w:rPr>
                    <w:t>7</w:t>
                  </w:r>
                </w:p>
              </w:tc>
            </w:tr>
          </w:tbl>
          <w:p w:rsidR="00A44E5D" w:rsidRPr="00941D26" w:rsidRDefault="00A44E5D" w:rsidP="00A44E5D">
            <w:pPr>
              <w:spacing w:after="120"/>
              <w:jc w:val="right"/>
              <w:rPr>
                <w:rFonts w:cs="Times New Roman"/>
                <w:sz w:val="18"/>
                <w:szCs w:val="18"/>
                <w:lang w:val="en-US"/>
              </w:rPr>
            </w:pPr>
          </w:p>
        </w:tc>
      </w:tr>
      <w:tr w:rsidR="00A44E5D" w:rsidRPr="00BF42A7" w:rsidTr="00A44E5D">
        <w:tc>
          <w:tcPr>
            <w:tcW w:w="4928" w:type="dxa"/>
          </w:tcPr>
          <w:p w:rsidR="00A44E5D" w:rsidRPr="00BF42A7" w:rsidRDefault="00A44E5D" w:rsidP="00A44E5D">
            <w:pPr>
              <w:spacing w:after="120"/>
              <w:rPr>
                <w:rFonts w:cs="Times New Roman"/>
                <w:i/>
                <w:sz w:val="18"/>
                <w:szCs w:val="18"/>
                <w:lang w:val="en-US"/>
              </w:rPr>
            </w:pPr>
            <w:r w:rsidRPr="00BF42A7">
              <w:rPr>
                <w:rFonts w:cs="Times New Roman"/>
                <w:i/>
                <w:sz w:val="18"/>
                <w:szCs w:val="18"/>
              </w:rPr>
              <w:t>Источник</w:t>
            </w:r>
            <w:r w:rsidRPr="00BF42A7">
              <w:rPr>
                <w:rFonts w:cs="Times New Roman"/>
                <w:i/>
                <w:sz w:val="18"/>
                <w:szCs w:val="18"/>
                <w:lang w:val="en-US"/>
              </w:rPr>
              <w:t xml:space="preserve">: </w:t>
            </w:r>
            <w:r>
              <w:rPr>
                <w:rFonts w:cs="Times New Roman"/>
                <w:i/>
                <w:sz w:val="18"/>
                <w:szCs w:val="18"/>
                <w:lang w:val="en-US"/>
              </w:rPr>
              <w:t>S&amp;P</w:t>
            </w:r>
          </w:p>
        </w:tc>
        <w:tc>
          <w:tcPr>
            <w:tcW w:w="5068" w:type="dxa"/>
          </w:tcPr>
          <w:p w:rsidR="00A44E5D" w:rsidRPr="00BF42A7" w:rsidRDefault="00A44E5D" w:rsidP="00A44E5D">
            <w:pPr>
              <w:spacing w:after="120"/>
              <w:jc w:val="right"/>
              <w:rPr>
                <w:rFonts w:cs="Times New Roman"/>
                <w:i/>
                <w:sz w:val="18"/>
                <w:szCs w:val="18"/>
                <w:lang w:val="en-US"/>
              </w:rPr>
            </w:pPr>
            <w:proofErr w:type="spellStart"/>
            <w:r w:rsidRPr="00BF42A7">
              <w:rPr>
                <w:rFonts w:cs="Times New Roman"/>
                <w:i/>
                <w:sz w:val="18"/>
                <w:szCs w:val="18"/>
                <w:lang w:val="en-US"/>
              </w:rPr>
              <w:t>Источник</w:t>
            </w:r>
            <w:proofErr w:type="spellEnd"/>
            <w:r w:rsidRPr="00BF42A7">
              <w:rPr>
                <w:rFonts w:cs="Times New Roman"/>
                <w:i/>
                <w:sz w:val="18"/>
                <w:szCs w:val="18"/>
                <w:lang w:val="en-US"/>
              </w:rPr>
              <w:t xml:space="preserve">: </w:t>
            </w:r>
            <w:r>
              <w:rPr>
                <w:rFonts w:cs="Times New Roman"/>
                <w:i/>
                <w:sz w:val="18"/>
                <w:szCs w:val="18"/>
              </w:rPr>
              <w:t>данные компаний</w:t>
            </w:r>
            <w:r w:rsidRPr="00BF42A7">
              <w:rPr>
                <w:rFonts w:cs="Times New Roman"/>
                <w:i/>
                <w:sz w:val="18"/>
                <w:szCs w:val="18"/>
                <w:lang w:val="en-US"/>
              </w:rPr>
              <w:t>, 2014</w:t>
            </w:r>
          </w:p>
        </w:tc>
      </w:tr>
    </w:tbl>
    <w:p w:rsidR="00A44E5D" w:rsidRPr="009F71EE" w:rsidRDefault="00A44E5D" w:rsidP="00A44E5D">
      <w:pPr>
        <w:spacing w:after="120"/>
        <w:ind w:firstLine="709"/>
        <w:jc w:val="both"/>
        <w:rPr>
          <w:rFonts w:ascii="Times New Roman" w:hAnsi="Times New Roman" w:cs="Times New Roman"/>
          <w:sz w:val="24"/>
          <w:szCs w:val="24"/>
          <w:lang w:val="en-US"/>
        </w:rPr>
      </w:pPr>
    </w:p>
    <w:p w:rsidR="00A44E5D" w:rsidRPr="00D50C42" w:rsidRDefault="00A44E5D" w:rsidP="00B35057">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В тоже время необходимо отметить, что и в России, и за рубежом на рентабельность </w:t>
      </w:r>
      <w:proofErr w:type="spellStart"/>
      <w:r w:rsidRPr="00D50C42">
        <w:rPr>
          <w:rFonts w:ascii="Times New Roman" w:hAnsi="Times New Roman" w:cs="Times New Roman"/>
          <w:sz w:val="26"/>
          <w:szCs w:val="26"/>
        </w:rPr>
        <w:t>несырьевых</w:t>
      </w:r>
      <w:proofErr w:type="spellEnd"/>
      <w:r w:rsidRPr="00D50C42">
        <w:rPr>
          <w:rFonts w:ascii="Times New Roman" w:hAnsi="Times New Roman" w:cs="Times New Roman"/>
          <w:sz w:val="26"/>
          <w:szCs w:val="26"/>
        </w:rPr>
        <w:t xml:space="preserve"> отраслей влияет и такой фактор как государственная поддержка в виде разного рода субсидий, выплат и размещения государственного заказа. В нефтяном секторе этот фактор почти не играет роли и, таким образом, происходит перераспределение ренты в экономике, что необходимо принимать во внимание при оценке налоговой нагрузки.</w:t>
      </w:r>
    </w:p>
    <w:p w:rsidR="00A44E5D" w:rsidRPr="00D50C42" w:rsidRDefault="00A44E5D" w:rsidP="00B35057">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Например, в России бюджетные ассигнования, направленные на стимулирование автомобильной промышленности, превышают 77 млрд. рублей. Несмотря на это, отрасль </w:t>
      </w:r>
      <w:proofErr w:type="spellStart"/>
      <w:r w:rsidRPr="00D50C42">
        <w:rPr>
          <w:rFonts w:ascii="Times New Roman" w:hAnsi="Times New Roman" w:cs="Times New Roman"/>
          <w:sz w:val="26"/>
          <w:szCs w:val="26"/>
        </w:rPr>
        <w:t>стагнирует</w:t>
      </w:r>
      <w:proofErr w:type="spellEnd"/>
      <w:r w:rsidRPr="00D50C42">
        <w:rPr>
          <w:rFonts w:ascii="Times New Roman" w:hAnsi="Times New Roman" w:cs="Times New Roman"/>
          <w:sz w:val="26"/>
          <w:szCs w:val="26"/>
        </w:rPr>
        <w:t xml:space="preserve">. Получается парадоксальная ситуация, когда на 1 рубль выручки предприятий отрасли (по данным на 1 полугодие 2015 года) приходится 0,54 руб. государственной поддержки. В целом отмечается тенденция к росту доли государственной помощи в выручке компаний (с 0,04 % в 2009 году до 0,64 % в 2014 году). И в промышленности, и в сельском хозяйстве действует множество субсидий, </w:t>
      </w:r>
      <w:proofErr w:type="spellStart"/>
      <w:r w:rsidRPr="00D50C42">
        <w:rPr>
          <w:rFonts w:ascii="Times New Roman" w:hAnsi="Times New Roman" w:cs="Times New Roman"/>
          <w:sz w:val="26"/>
          <w:szCs w:val="26"/>
        </w:rPr>
        <w:t>грантовых</w:t>
      </w:r>
      <w:proofErr w:type="spellEnd"/>
      <w:r w:rsidRPr="00D50C42">
        <w:rPr>
          <w:rFonts w:ascii="Times New Roman" w:hAnsi="Times New Roman" w:cs="Times New Roman"/>
          <w:sz w:val="26"/>
          <w:szCs w:val="26"/>
        </w:rPr>
        <w:t xml:space="preserve"> программ, оказывающих влияние на их экономический результат.</w:t>
      </w:r>
    </w:p>
    <w:p w:rsidR="00A44E5D" w:rsidRDefault="00A44E5D" w:rsidP="00B35057">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Таким образом, российские нефтегазовые компании испытывают более высокую налоговую нагрузку в сравнении с компаниями других отраслей, выступая донором для экономики. По сравнению с зарубежными нефтегазовыми компаниями </w:t>
      </w:r>
      <w:r w:rsidRPr="00D50C42">
        <w:rPr>
          <w:rFonts w:ascii="Times New Roman" w:hAnsi="Times New Roman" w:cs="Times New Roman"/>
          <w:sz w:val="26"/>
          <w:szCs w:val="26"/>
        </w:rPr>
        <w:lastRenderedPageBreak/>
        <w:t xml:space="preserve">также выглядит как более </w:t>
      </w:r>
      <w:proofErr w:type="gramStart"/>
      <w:r w:rsidRPr="00D50C42">
        <w:rPr>
          <w:rFonts w:ascii="Times New Roman" w:hAnsi="Times New Roman" w:cs="Times New Roman"/>
          <w:sz w:val="26"/>
          <w:szCs w:val="26"/>
        </w:rPr>
        <w:t>высокая</w:t>
      </w:r>
      <w:proofErr w:type="gramEnd"/>
      <w:r w:rsidRPr="00D50C42">
        <w:rPr>
          <w:rFonts w:ascii="Times New Roman" w:hAnsi="Times New Roman" w:cs="Times New Roman"/>
          <w:sz w:val="26"/>
          <w:szCs w:val="26"/>
        </w:rPr>
        <w:t>. Отчасти это объясняется меньшей себестоимостью добычи и возможностью изъятия более высокой ренты государством. Однако это однозначный сигнал о необходимости выверенных регулирующих воздействий на отрасль, так как эксплуатируемые сегодня месторождения с низкой себестоимостью добычи уже истощаются, и по уровню и структуре издержек российские компании будут приближаться к зарубежным коллегам. Налоговая система не может игнорировать этот сигнал.</w:t>
      </w: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B35057" w:rsidRDefault="00B35057" w:rsidP="00B35057">
      <w:pPr>
        <w:spacing w:after="120" w:line="240" w:lineRule="auto"/>
        <w:ind w:firstLine="709"/>
        <w:jc w:val="both"/>
        <w:rPr>
          <w:rFonts w:ascii="Times New Roman" w:hAnsi="Times New Roman" w:cs="Times New Roman"/>
          <w:sz w:val="26"/>
          <w:szCs w:val="26"/>
        </w:rPr>
      </w:pPr>
    </w:p>
    <w:p w:rsidR="00A44E5D" w:rsidRDefault="00A44E5D" w:rsidP="00B35057">
      <w:pPr>
        <w:pStyle w:val="1"/>
        <w:rPr>
          <w:rFonts w:ascii="Times New Roman" w:hAnsi="Times New Roman" w:cs="Times New Roman"/>
          <w:color w:val="1F497D" w:themeColor="text2"/>
        </w:rPr>
      </w:pPr>
      <w:bookmarkStart w:id="197" w:name="_Toc431474322"/>
      <w:r w:rsidRPr="00B35057">
        <w:rPr>
          <w:rFonts w:ascii="Times New Roman" w:hAnsi="Times New Roman" w:cs="Times New Roman"/>
          <w:color w:val="1F497D" w:themeColor="text2"/>
        </w:rPr>
        <w:lastRenderedPageBreak/>
        <w:t>Международная практика налогообложения нефтяного сектора</w:t>
      </w:r>
      <w:bookmarkEnd w:id="197"/>
    </w:p>
    <w:p w:rsidR="00B35057" w:rsidRPr="00B35057" w:rsidRDefault="00B35057" w:rsidP="00B35057"/>
    <w:p w:rsidR="00A44E5D" w:rsidRPr="00D50C42" w:rsidRDefault="00A44E5D" w:rsidP="00B35057">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Правительства различных стран сегодня стремятся скорректировать налоговую политику в отношении нефтегазового сектора и сделать налоговый режим привлекательным для инвесторов. В ситуации волатильности рынков и наметившегося снижения цен на энергоресурсы требуются безотлагательные действия по обеспечению конкурентоспособности нефтегазового сектора (зачастую речь идет о спасении конкретных проектов). Одним из возможных инструментов регулирующего воздействия могут стать налоговые изменения. </w:t>
      </w:r>
    </w:p>
    <w:p w:rsidR="00A44E5D" w:rsidRPr="00D50C42" w:rsidRDefault="00A44E5D" w:rsidP="00B35057">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В стремлении создать эффективную налоговую систему государство руководствуется следующими основными требованиями:</w:t>
      </w:r>
    </w:p>
    <w:p w:rsidR="00A44E5D" w:rsidRPr="00B35057" w:rsidRDefault="00A44E5D" w:rsidP="00B35057">
      <w:pPr>
        <w:pStyle w:val="a5"/>
        <w:numPr>
          <w:ilvl w:val="0"/>
          <w:numId w:val="8"/>
        </w:numPr>
        <w:spacing w:after="120"/>
        <w:jc w:val="both"/>
        <w:rPr>
          <w:rFonts w:ascii="Times New Roman" w:hAnsi="Times New Roman" w:cs="Times New Roman"/>
          <w:sz w:val="26"/>
          <w:szCs w:val="26"/>
        </w:rPr>
      </w:pPr>
      <w:r w:rsidRPr="00B35057">
        <w:rPr>
          <w:rFonts w:ascii="Times New Roman" w:hAnsi="Times New Roman" w:cs="Times New Roman"/>
          <w:sz w:val="26"/>
          <w:szCs w:val="26"/>
        </w:rPr>
        <w:t>обеспечение поступлений государству большей части рентных доходов, генерируемых в минерально-сырьевом секторе в периоды высоких цен на его продукцию;</w:t>
      </w:r>
    </w:p>
    <w:p w:rsidR="00A44E5D" w:rsidRPr="00B35057" w:rsidRDefault="00A44E5D" w:rsidP="00B35057">
      <w:pPr>
        <w:pStyle w:val="a5"/>
        <w:numPr>
          <w:ilvl w:val="0"/>
          <w:numId w:val="8"/>
        </w:numPr>
        <w:spacing w:after="120"/>
        <w:jc w:val="both"/>
        <w:rPr>
          <w:rFonts w:ascii="Times New Roman" w:hAnsi="Times New Roman" w:cs="Times New Roman"/>
          <w:sz w:val="26"/>
          <w:szCs w:val="26"/>
        </w:rPr>
      </w:pPr>
      <w:r w:rsidRPr="00B35057">
        <w:rPr>
          <w:rFonts w:ascii="Times New Roman" w:hAnsi="Times New Roman" w:cs="Times New Roman"/>
          <w:sz w:val="26"/>
          <w:szCs w:val="26"/>
        </w:rPr>
        <w:t>упрощение администрирования, не требующее больших затрат на сбор налогов и минимизация возможностей для уклонения от их уплаты;</w:t>
      </w:r>
    </w:p>
    <w:p w:rsidR="00A44E5D" w:rsidRPr="00B35057" w:rsidRDefault="00A44E5D" w:rsidP="00B35057">
      <w:pPr>
        <w:pStyle w:val="a5"/>
        <w:numPr>
          <w:ilvl w:val="0"/>
          <w:numId w:val="8"/>
        </w:numPr>
        <w:spacing w:after="120"/>
        <w:jc w:val="both"/>
        <w:rPr>
          <w:rFonts w:ascii="Times New Roman" w:hAnsi="Times New Roman" w:cs="Times New Roman"/>
          <w:sz w:val="26"/>
          <w:szCs w:val="26"/>
        </w:rPr>
      </w:pPr>
      <w:r w:rsidRPr="00B35057">
        <w:rPr>
          <w:rFonts w:ascii="Times New Roman" w:hAnsi="Times New Roman" w:cs="Times New Roman"/>
          <w:sz w:val="26"/>
          <w:szCs w:val="26"/>
        </w:rPr>
        <w:t>максимизация реального объема поступающих государству доходов путем обеспечения поступлений уже в первые годы производства;</w:t>
      </w:r>
    </w:p>
    <w:p w:rsidR="00A44E5D" w:rsidRPr="00B35057" w:rsidRDefault="00A44E5D" w:rsidP="00B35057">
      <w:pPr>
        <w:pStyle w:val="a5"/>
        <w:numPr>
          <w:ilvl w:val="0"/>
          <w:numId w:val="8"/>
        </w:numPr>
        <w:spacing w:after="120"/>
        <w:jc w:val="both"/>
        <w:rPr>
          <w:rFonts w:ascii="Times New Roman" w:hAnsi="Times New Roman" w:cs="Times New Roman"/>
          <w:sz w:val="26"/>
          <w:szCs w:val="26"/>
        </w:rPr>
      </w:pPr>
      <w:r w:rsidRPr="00B35057">
        <w:rPr>
          <w:rFonts w:ascii="Times New Roman" w:hAnsi="Times New Roman" w:cs="Times New Roman"/>
          <w:sz w:val="26"/>
          <w:szCs w:val="26"/>
        </w:rPr>
        <w:t>изъятие сверхприбыли при реализации проектов, характеризующихся низкими затратами.</w:t>
      </w:r>
    </w:p>
    <w:p w:rsidR="00A44E5D" w:rsidRPr="00B35057" w:rsidRDefault="00A44E5D" w:rsidP="00B35057">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В большинстве исследуемых стран налоговый и фискальный режимы представлены комбинацией налога на доходы корпораций, роялти, НДПИ и различного рода концессионными соглашениями или со</w:t>
      </w:r>
      <w:r w:rsidR="00B35057">
        <w:rPr>
          <w:rFonts w:ascii="Times New Roman" w:hAnsi="Times New Roman" w:cs="Times New Roman"/>
          <w:sz w:val="26"/>
          <w:szCs w:val="26"/>
        </w:rPr>
        <w:t>глашениями о разделе продукции.</w:t>
      </w:r>
    </w:p>
    <w:p w:rsidR="00A44E5D" w:rsidRPr="001E186E" w:rsidRDefault="00A44E5D" w:rsidP="00A44E5D">
      <w:pPr>
        <w:spacing w:after="120"/>
        <w:ind w:firstLine="709"/>
        <w:jc w:val="both"/>
        <w:rPr>
          <w:rFonts w:ascii="Times New Roman" w:hAnsi="Times New Roman" w:cs="Times New Roman"/>
          <w:b/>
          <w:i/>
          <w:sz w:val="20"/>
          <w:szCs w:val="24"/>
        </w:rPr>
      </w:pPr>
      <w:r w:rsidRPr="001E186E">
        <w:rPr>
          <w:rFonts w:ascii="Times New Roman" w:hAnsi="Times New Roman" w:cs="Times New Roman"/>
          <w:b/>
          <w:i/>
          <w:sz w:val="20"/>
          <w:szCs w:val="24"/>
        </w:rPr>
        <w:t>Динамика нефтедобывающего сектора США</w:t>
      </w:r>
    </w:p>
    <w:p w:rsidR="00A44E5D" w:rsidRDefault="00A44E5D" w:rsidP="00A44E5D">
      <w:pPr>
        <w:spacing w:after="120"/>
        <w:jc w:val="both"/>
        <w:rPr>
          <w:rFonts w:ascii="Times New Roman" w:hAnsi="Times New Roman" w:cs="Times New Roman"/>
          <w:sz w:val="24"/>
          <w:szCs w:val="24"/>
        </w:rPr>
      </w:pPr>
      <w:r w:rsidRPr="00293F70">
        <w:rPr>
          <w:rFonts w:ascii="Times New Roman" w:hAnsi="Times New Roman" w:cs="Times New Roman"/>
          <w:noProof/>
          <w:sz w:val="24"/>
          <w:szCs w:val="24"/>
          <w:lang w:eastAsia="ru-RU"/>
        </w:rPr>
        <w:drawing>
          <wp:inline distT="0" distB="0" distL="0" distR="0" wp14:anchorId="77299357" wp14:editId="110670F6">
            <wp:extent cx="5940425" cy="2086414"/>
            <wp:effectExtent l="0" t="0" r="3175" b="0"/>
            <wp:docPr id="3"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4E5D" w:rsidRPr="001E186E" w:rsidRDefault="00A44E5D" w:rsidP="00A44E5D">
      <w:pPr>
        <w:spacing w:after="120"/>
        <w:ind w:firstLine="709"/>
        <w:jc w:val="both"/>
        <w:rPr>
          <w:rFonts w:ascii="Times New Roman" w:hAnsi="Times New Roman" w:cs="Times New Roman"/>
          <w:i/>
          <w:sz w:val="20"/>
          <w:szCs w:val="24"/>
          <w:lang w:val="en-US"/>
        </w:rPr>
      </w:pPr>
      <w:r w:rsidRPr="001E186E">
        <w:rPr>
          <w:rFonts w:ascii="Times New Roman" w:hAnsi="Times New Roman" w:cs="Times New Roman"/>
          <w:i/>
          <w:sz w:val="20"/>
          <w:szCs w:val="24"/>
        </w:rPr>
        <w:t>Источник</w:t>
      </w:r>
      <w:r w:rsidRPr="001E186E">
        <w:rPr>
          <w:rFonts w:ascii="Times New Roman" w:hAnsi="Times New Roman" w:cs="Times New Roman"/>
          <w:i/>
          <w:sz w:val="20"/>
          <w:szCs w:val="24"/>
          <w:lang w:val="en-US"/>
        </w:rPr>
        <w:t>: BP Statistical Review of World Energy June 2015</w:t>
      </w:r>
    </w:p>
    <w:p w:rsidR="00A44E5D" w:rsidRPr="00D50C42" w:rsidRDefault="00A44E5D" w:rsidP="00A44E5D">
      <w:pPr>
        <w:spacing w:after="120"/>
        <w:ind w:firstLine="709"/>
        <w:jc w:val="both"/>
        <w:rPr>
          <w:rFonts w:ascii="Times New Roman" w:hAnsi="Times New Roman" w:cs="Times New Roman"/>
          <w:sz w:val="26"/>
          <w:szCs w:val="26"/>
          <w:lang w:val="en-US"/>
        </w:rPr>
      </w:pPr>
    </w:p>
    <w:p w:rsidR="00A44E5D" w:rsidRPr="00D50C42" w:rsidRDefault="00A44E5D" w:rsidP="00A44E5D">
      <w:pPr>
        <w:spacing w:after="120"/>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Система налогообложения нефтяного сектора США представляет собой комбинацию НДПИ, роялти и налога на доходы корпораций. </w:t>
      </w:r>
    </w:p>
    <w:p w:rsidR="00A44E5D" w:rsidRPr="00D50C42" w:rsidRDefault="00A44E5D" w:rsidP="00B35057">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НДПИ уплачивается по месту добычи ресурсов, включая шельф. Налоговые ставки и налоговая база варьируются в зависимости от штата. Штаты же могут </w:t>
      </w:r>
      <w:r w:rsidRPr="00D50C42">
        <w:rPr>
          <w:rFonts w:ascii="Times New Roman" w:hAnsi="Times New Roman" w:cs="Times New Roman"/>
          <w:sz w:val="26"/>
          <w:szCs w:val="26"/>
        </w:rPr>
        <w:lastRenderedPageBreak/>
        <w:t xml:space="preserve">устанавливать размер бонусов, что на </w:t>
      </w:r>
      <w:proofErr w:type="spellStart"/>
      <w:r w:rsidRPr="00D50C42">
        <w:rPr>
          <w:rFonts w:ascii="Times New Roman" w:hAnsi="Times New Roman" w:cs="Times New Roman"/>
          <w:sz w:val="26"/>
          <w:szCs w:val="26"/>
        </w:rPr>
        <w:t>высококонкурентном</w:t>
      </w:r>
      <w:proofErr w:type="spellEnd"/>
      <w:r w:rsidRPr="00D50C42">
        <w:rPr>
          <w:rFonts w:ascii="Times New Roman" w:hAnsi="Times New Roman" w:cs="Times New Roman"/>
          <w:sz w:val="26"/>
          <w:szCs w:val="26"/>
        </w:rPr>
        <w:t xml:space="preserve"> рынке позволяет им собирать значительные суммы, сопоставимые с роялти. </w:t>
      </w:r>
    </w:p>
    <w:p w:rsidR="00A44E5D" w:rsidRPr="00D50C42" w:rsidRDefault="00A44E5D" w:rsidP="00B35057">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Налогообложение доходов резидентов США осуществляется вне зависимости от места их получения по ставке 35%. Существует возможность балансирования прибыли от одного проекта убытками от другого, а также формирования консолидированного налогоплательщика (при доле участия в капитале более 80%). Принципиальный момент  в налогообложении нефтегазового сектора в США – все расчеты осуществляются с соотнесением с объектом собственности (относятся к конкретному активу). Наряду с общим режимом налогообложения действует альтернативный облегченный режим, ставка – 20%. Режим распространяется на компании, имеющие значительные расходы на документальное сопровождение процессов бурения, особенно в период низких цен на ресурсы.</w:t>
      </w:r>
    </w:p>
    <w:p w:rsidR="00A44E5D" w:rsidRPr="00D50C42" w:rsidRDefault="00A44E5D" w:rsidP="00B35057">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Для целей налогообложения принимаются расходы, связанные с приобретением (арендой) проекта. Расходы на развитие и относящиеся производству продукции имеют разный режим регулирования (последние обычно подлежат вычету из налогооблагаемой базы в том году, когда они имели место). Нематериальные активы являются амортизируемыми.</w:t>
      </w:r>
    </w:p>
    <w:p w:rsidR="00A44E5D" w:rsidRPr="00D50C42" w:rsidRDefault="00A44E5D" w:rsidP="00B35057">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Расходы на развитие могут подлежать списанию в первый год их осуществления в полном объеме для независимых производителей. Для интегрированных производителей – 70% в первый год, с возможностью списания оставшихся 30% - в течение 60 месяцев. Расходы на документальное сопровождение и прочие расходы, связанные с подготовкой скважин (IDC) подлежат зачету в размере 100% для независимых производителей, и 70% - для интегрированных. Убытки могут переноситься на протяжении 20 лет. Существует важное условие – «продолжительность существования собственности», т.е. списание убытков в отношении объекта собственности-проекта разрешено при условии, что не происходят колебания стоимости этой собственности более</w:t>
      </w:r>
      <w:proofErr w:type="gramStart"/>
      <w:r w:rsidRPr="00D50C42">
        <w:rPr>
          <w:rFonts w:ascii="Times New Roman" w:hAnsi="Times New Roman" w:cs="Times New Roman"/>
          <w:sz w:val="26"/>
          <w:szCs w:val="26"/>
        </w:rPr>
        <w:t>,</w:t>
      </w:r>
      <w:proofErr w:type="gramEnd"/>
      <w:r w:rsidRPr="00D50C42">
        <w:rPr>
          <w:rFonts w:ascii="Times New Roman" w:hAnsi="Times New Roman" w:cs="Times New Roman"/>
          <w:sz w:val="26"/>
          <w:szCs w:val="26"/>
        </w:rPr>
        <w:t xml:space="preserve"> чем на 50% за трехлетний период. Существуют значительные возможности установления льгот и освобождений властями штата.</w:t>
      </w:r>
    </w:p>
    <w:p w:rsidR="00A44E5D" w:rsidRPr="00D50C42" w:rsidRDefault="00A44E5D" w:rsidP="00B35057">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Роялти уплачиваются владельцам сырьевых ресурсов, коими являются федеральные власти или власти штата, частные лица, индейские резервации, корпорации, партнерства и др. Размер платежей варьируется от 12,5 до 30% от стоимости производимой продукции на конкретной скважине.</w:t>
      </w:r>
    </w:p>
    <w:p w:rsidR="00A44E5D" w:rsidRPr="00D50C42" w:rsidRDefault="00A44E5D" w:rsidP="00B35057">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Применяются бонусы и </w:t>
      </w:r>
      <w:proofErr w:type="spellStart"/>
      <w:r w:rsidRPr="00D50C42">
        <w:rPr>
          <w:rFonts w:ascii="Times New Roman" w:hAnsi="Times New Roman" w:cs="Times New Roman"/>
          <w:sz w:val="26"/>
          <w:szCs w:val="26"/>
        </w:rPr>
        <w:t>ренталс</w:t>
      </w:r>
      <w:proofErr w:type="spellEnd"/>
      <w:r w:rsidRPr="00D50C42">
        <w:rPr>
          <w:rFonts w:ascii="Times New Roman" w:hAnsi="Times New Roman" w:cs="Times New Roman"/>
          <w:sz w:val="26"/>
          <w:szCs w:val="26"/>
        </w:rPr>
        <w:t>.</w:t>
      </w:r>
    </w:p>
    <w:p w:rsidR="00A44E5D" w:rsidRPr="00D50C42" w:rsidRDefault="00A44E5D" w:rsidP="00B35057">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Ставка налогов на дивиденды, проценты, роялти и аналогичные платежи устанавливается в размере 30%. Однако конкретные размеры определяются положениями договоров об </w:t>
      </w:r>
      <w:proofErr w:type="spellStart"/>
      <w:r w:rsidRPr="00D50C42">
        <w:rPr>
          <w:rFonts w:ascii="Times New Roman" w:hAnsi="Times New Roman" w:cs="Times New Roman"/>
          <w:sz w:val="26"/>
          <w:szCs w:val="26"/>
        </w:rPr>
        <w:t>избежании</w:t>
      </w:r>
      <w:proofErr w:type="spellEnd"/>
      <w:r w:rsidRPr="00D50C42">
        <w:rPr>
          <w:rFonts w:ascii="Times New Roman" w:hAnsi="Times New Roman" w:cs="Times New Roman"/>
          <w:sz w:val="26"/>
          <w:szCs w:val="26"/>
        </w:rPr>
        <w:t xml:space="preserve"> двойного налогообложения.</w:t>
      </w:r>
    </w:p>
    <w:p w:rsidR="00A44E5D" w:rsidRPr="00D50C42" w:rsidRDefault="00A44E5D" w:rsidP="00B35057">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В США не применяется налог на добавленную стоимость. Большая часть штатов и местных органов устанавливает налоги с продаж. Ставки варьируются от 3 до 9%. Существуют специальные критерии для установления связи плательщика с конкретным штатом для получения статуса налогоплательщика и права взимать налоги в пользу штата. </w:t>
      </w:r>
    </w:p>
    <w:p w:rsidR="00A44E5D" w:rsidRPr="00D50C42" w:rsidRDefault="00A44E5D" w:rsidP="00B35057">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Экспортные пошлины не устанавливаются, однако могут использоваться прямые или косвенные запреты на экспорт. </w:t>
      </w:r>
    </w:p>
    <w:p w:rsidR="00A44E5D" w:rsidRPr="00D50C42" w:rsidRDefault="00A44E5D" w:rsidP="00B35057">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lastRenderedPageBreak/>
        <w:t>Стоит подчеркнуть, что правила, применяемые к иностранным проектам (расположенные вне США) отличаются от правил, применяемых к проектам на территории США. Для этой дифференциации установлен критерий – проекты в 200-мильной зоне в Мексиканском заливе. По общему правилу владельцы зарубежных проектов списывают расходы на протяжении более длительных интервалов времени.</w:t>
      </w:r>
    </w:p>
    <w:p w:rsidR="00A44E5D" w:rsidRPr="00D50C42" w:rsidRDefault="00A44E5D" w:rsidP="00B35057">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В 80-х годах вводился налог на «случайную прибыль», однако он оказал негативное влияние на объемы добычи и привел к росту импорта. Был отменен в 1988 году.</w:t>
      </w:r>
    </w:p>
    <w:p w:rsidR="00A44E5D" w:rsidRPr="00D50C42" w:rsidRDefault="00A44E5D" w:rsidP="00B35057">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Существующая система налогообложения обеспечивает значительный прирост запасов и добычи, однако емкость рынка такова (более 19 млн. </w:t>
      </w:r>
      <w:proofErr w:type="spellStart"/>
      <w:r w:rsidRPr="00D50C42">
        <w:rPr>
          <w:rFonts w:ascii="Times New Roman" w:hAnsi="Times New Roman" w:cs="Times New Roman"/>
          <w:sz w:val="26"/>
          <w:szCs w:val="26"/>
        </w:rPr>
        <w:t>барр</w:t>
      </w:r>
      <w:proofErr w:type="spellEnd"/>
      <w:r w:rsidRPr="00D50C42">
        <w:rPr>
          <w:rFonts w:ascii="Times New Roman" w:hAnsi="Times New Roman" w:cs="Times New Roman"/>
          <w:sz w:val="26"/>
          <w:szCs w:val="26"/>
        </w:rPr>
        <w:t>. в день), что местные производители не в состоянии обеспечить потребности страны. При этом вне зависимости от системы налогообложения потенциал наращивания добычи очень невелик, так как уровень обеспеченности запасами США не превышает 11 лет. По сравнению с другими странами в США большую роль на рынке играют малые предприятия, контролирующие до 46% добычи.</w:t>
      </w:r>
    </w:p>
    <w:p w:rsidR="00A44E5D" w:rsidRDefault="00A44E5D" w:rsidP="00A44E5D">
      <w:pPr>
        <w:spacing w:after="120"/>
        <w:ind w:firstLine="709"/>
        <w:jc w:val="both"/>
        <w:rPr>
          <w:rFonts w:ascii="Times New Roman" w:hAnsi="Times New Roman" w:cs="Times New Roman"/>
          <w:sz w:val="24"/>
          <w:szCs w:val="24"/>
        </w:rPr>
      </w:pPr>
    </w:p>
    <w:p w:rsidR="00A44E5D" w:rsidRPr="001E186E" w:rsidRDefault="00A44E5D" w:rsidP="00A44E5D">
      <w:pPr>
        <w:spacing w:after="120"/>
        <w:ind w:firstLine="709"/>
        <w:jc w:val="both"/>
        <w:rPr>
          <w:rFonts w:ascii="Times New Roman" w:hAnsi="Times New Roman" w:cs="Times New Roman"/>
          <w:b/>
          <w:i/>
          <w:sz w:val="20"/>
          <w:szCs w:val="24"/>
        </w:rPr>
      </w:pPr>
      <w:r w:rsidRPr="001E186E">
        <w:rPr>
          <w:rFonts w:ascii="Times New Roman" w:hAnsi="Times New Roman" w:cs="Times New Roman"/>
          <w:b/>
          <w:i/>
          <w:sz w:val="20"/>
          <w:szCs w:val="24"/>
        </w:rPr>
        <w:t>Динамика нефтедобывающего сектора Канады</w:t>
      </w:r>
    </w:p>
    <w:p w:rsidR="00A44E5D" w:rsidRDefault="00A44E5D" w:rsidP="00A44E5D">
      <w:pPr>
        <w:spacing w:after="120"/>
        <w:jc w:val="both"/>
        <w:rPr>
          <w:rFonts w:ascii="Times New Roman" w:hAnsi="Times New Roman" w:cs="Times New Roman"/>
          <w:sz w:val="24"/>
          <w:szCs w:val="24"/>
        </w:rPr>
      </w:pPr>
      <w:r w:rsidRPr="00270854">
        <w:rPr>
          <w:rFonts w:ascii="Times New Roman" w:hAnsi="Times New Roman" w:cs="Times New Roman"/>
          <w:noProof/>
          <w:sz w:val="24"/>
          <w:szCs w:val="24"/>
          <w:lang w:eastAsia="ru-RU"/>
        </w:rPr>
        <w:drawing>
          <wp:inline distT="0" distB="0" distL="0" distR="0" wp14:anchorId="3F2846B0" wp14:editId="072CA60F">
            <wp:extent cx="5940425" cy="2086414"/>
            <wp:effectExtent l="0" t="0" r="3175" b="0"/>
            <wp:docPr id="4"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44E5D" w:rsidRPr="001E186E" w:rsidRDefault="00A44E5D" w:rsidP="00A44E5D">
      <w:pPr>
        <w:spacing w:after="120"/>
        <w:ind w:firstLine="709"/>
        <w:jc w:val="both"/>
        <w:rPr>
          <w:rFonts w:ascii="Times New Roman" w:hAnsi="Times New Roman" w:cs="Times New Roman"/>
          <w:i/>
          <w:sz w:val="20"/>
          <w:szCs w:val="24"/>
          <w:lang w:val="en-US"/>
        </w:rPr>
      </w:pPr>
      <w:r w:rsidRPr="001E186E">
        <w:rPr>
          <w:rFonts w:ascii="Times New Roman" w:hAnsi="Times New Roman" w:cs="Times New Roman"/>
          <w:i/>
          <w:sz w:val="20"/>
          <w:szCs w:val="24"/>
        </w:rPr>
        <w:t>Источник</w:t>
      </w:r>
      <w:r w:rsidRPr="001E186E">
        <w:rPr>
          <w:rFonts w:ascii="Times New Roman" w:hAnsi="Times New Roman" w:cs="Times New Roman"/>
          <w:i/>
          <w:sz w:val="20"/>
          <w:szCs w:val="24"/>
          <w:lang w:val="en-US"/>
        </w:rPr>
        <w:t>: BP Statistical Review of World Energy June 2015</w:t>
      </w:r>
    </w:p>
    <w:p w:rsidR="00A44E5D" w:rsidRPr="001E186E" w:rsidRDefault="00A44E5D" w:rsidP="00A44E5D">
      <w:pPr>
        <w:spacing w:after="120"/>
        <w:ind w:firstLine="709"/>
        <w:jc w:val="both"/>
        <w:rPr>
          <w:rFonts w:ascii="Times New Roman" w:hAnsi="Times New Roman" w:cs="Times New Roman"/>
          <w:i/>
          <w:sz w:val="24"/>
          <w:szCs w:val="24"/>
          <w:lang w:val="en-US"/>
        </w:rPr>
      </w:pP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В Канаде действует концессионный тип налогообложения, при котором допускается частная собственность на природные ресурсы. Газ и нефть обычно принадлежат провинции, в которой они залегают. Права на разведку и добычу нефти и газа предоставляются на основании лицензий. Базовый собственник природных ресурсов предоставляет лицензию или сдает в аренду права на добычу полезных ископаемых.</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Компании нефтегазового сектора обязаны выплачивать роялти держателю прав на сырьевые ресурсы – это основной источник поступлений в бюджет от нефтяного сектора. В Канаде большая часть этих прав находится во владении провинции, территориальных или федеральных органов власти. Расчет роялти достаточно сложен и варьируется от провинции к провинции (составляет до 45% от стоимости нефти). В основном в расчетах используется стоимость сырой нефти и производительность скважин (в провинции Альберта роялти до выхода на проектную мощность и </w:t>
      </w:r>
      <w:r w:rsidRPr="00D50C42">
        <w:rPr>
          <w:rFonts w:ascii="Times New Roman" w:hAnsi="Times New Roman" w:cs="Times New Roman"/>
          <w:sz w:val="26"/>
          <w:szCs w:val="26"/>
        </w:rPr>
        <w:lastRenderedPageBreak/>
        <w:t>окупаемость капиталовложений составляет 1%, а затем увеличивается до 12%). Роялти вычитаются из налогооблагаемого дохода.</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Применяются бонусы и </w:t>
      </w:r>
      <w:proofErr w:type="spellStart"/>
      <w:r w:rsidRPr="00D50C42">
        <w:rPr>
          <w:rFonts w:ascii="Times New Roman" w:hAnsi="Times New Roman" w:cs="Times New Roman"/>
          <w:sz w:val="26"/>
          <w:szCs w:val="26"/>
        </w:rPr>
        <w:t>ренталс</w:t>
      </w:r>
      <w:proofErr w:type="spellEnd"/>
      <w:r w:rsidRPr="00D50C42">
        <w:rPr>
          <w:rFonts w:ascii="Times New Roman" w:hAnsi="Times New Roman" w:cs="Times New Roman"/>
          <w:sz w:val="26"/>
          <w:szCs w:val="26"/>
        </w:rPr>
        <w:t>.</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Налог на доходы корпораций состоит из федеральной (15%) и региональной части </w:t>
      </w:r>
      <w:proofErr w:type="gramStart"/>
      <w:r w:rsidRPr="00D50C42">
        <w:rPr>
          <w:rFonts w:ascii="Times New Roman" w:hAnsi="Times New Roman" w:cs="Times New Roman"/>
          <w:sz w:val="26"/>
          <w:szCs w:val="26"/>
        </w:rPr>
        <w:t xml:space="preserve">( </w:t>
      </w:r>
      <w:proofErr w:type="gramEnd"/>
      <w:r w:rsidRPr="00D50C42">
        <w:rPr>
          <w:rFonts w:ascii="Times New Roman" w:hAnsi="Times New Roman" w:cs="Times New Roman"/>
          <w:sz w:val="26"/>
          <w:szCs w:val="26"/>
        </w:rPr>
        <w:t xml:space="preserve">от 10 до 16% в зависимости от провинции). Федеральный налог на доходы может быть уменьшен на размер инвестиционного налогового вычета в размере 10% расходов, понесенных при работе в канадской зоне Атлантики (впрочем, эта величины снижается, и вскоре будет отменена). Существуют налоговые вычеты на осуществление научных исследований и проведение экспериментов - </w:t>
      </w:r>
      <w:proofErr w:type="spellStart"/>
      <w:r w:rsidRPr="00D50C42">
        <w:rPr>
          <w:rFonts w:ascii="Times New Roman" w:hAnsi="Times New Roman" w:cs="Times New Roman"/>
          <w:sz w:val="26"/>
          <w:szCs w:val="26"/>
        </w:rPr>
        <w:t>Scientific</w:t>
      </w:r>
      <w:proofErr w:type="spellEnd"/>
      <w:r w:rsidRPr="00D50C42">
        <w:rPr>
          <w:rFonts w:ascii="Times New Roman" w:hAnsi="Times New Roman" w:cs="Times New Roman"/>
          <w:sz w:val="26"/>
          <w:szCs w:val="26"/>
        </w:rPr>
        <w:t xml:space="preserve"> </w:t>
      </w:r>
      <w:proofErr w:type="spellStart"/>
      <w:r w:rsidRPr="00D50C42">
        <w:rPr>
          <w:rFonts w:ascii="Times New Roman" w:hAnsi="Times New Roman" w:cs="Times New Roman"/>
          <w:sz w:val="26"/>
          <w:szCs w:val="26"/>
        </w:rPr>
        <w:t>research</w:t>
      </w:r>
      <w:proofErr w:type="spellEnd"/>
      <w:r w:rsidRPr="00D50C42">
        <w:rPr>
          <w:rFonts w:ascii="Times New Roman" w:hAnsi="Times New Roman" w:cs="Times New Roman"/>
          <w:sz w:val="26"/>
          <w:szCs w:val="26"/>
        </w:rPr>
        <w:t xml:space="preserve"> </w:t>
      </w:r>
      <w:proofErr w:type="spellStart"/>
      <w:r w:rsidRPr="00D50C42">
        <w:rPr>
          <w:rFonts w:ascii="Times New Roman" w:hAnsi="Times New Roman" w:cs="Times New Roman"/>
          <w:sz w:val="26"/>
          <w:szCs w:val="26"/>
        </w:rPr>
        <w:t>and</w:t>
      </w:r>
      <w:proofErr w:type="spellEnd"/>
      <w:r w:rsidRPr="00D50C42">
        <w:rPr>
          <w:rFonts w:ascii="Times New Roman" w:hAnsi="Times New Roman" w:cs="Times New Roman"/>
          <w:sz w:val="26"/>
          <w:szCs w:val="26"/>
        </w:rPr>
        <w:t xml:space="preserve"> </w:t>
      </w:r>
      <w:proofErr w:type="spellStart"/>
      <w:r w:rsidRPr="00D50C42">
        <w:rPr>
          <w:rFonts w:ascii="Times New Roman" w:hAnsi="Times New Roman" w:cs="Times New Roman"/>
          <w:sz w:val="26"/>
          <w:szCs w:val="26"/>
        </w:rPr>
        <w:t>experimental</w:t>
      </w:r>
      <w:proofErr w:type="spellEnd"/>
      <w:r w:rsidRPr="00D50C42">
        <w:rPr>
          <w:rFonts w:ascii="Times New Roman" w:hAnsi="Times New Roman" w:cs="Times New Roman"/>
          <w:sz w:val="26"/>
          <w:szCs w:val="26"/>
        </w:rPr>
        <w:t xml:space="preserve"> </w:t>
      </w:r>
      <w:proofErr w:type="spellStart"/>
      <w:r w:rsidRPr="00D50C42">
        <w:rPr>
          <w:rFonts w:ascii="Times New Roman" w:hAnsi="Times New Roman" w:cs="Times New Roman"/>
          <w:sz w:val="26"/>
          <w:szCs w:val="26"/>
        </w:rPr>
        <w:t>development</w:t>
      </w:r>
      <w:proofErr w:type="spellEnd"/>
      <w:r w:rsidRPr="00D50C42">
        <w:rPr>
          <w:rFonts w:ascii="Times New Roman" w:hAnsi="Times New Roman" w:cs="Times New Roman"/>
          <w:sz w:val="26"/>
          <w:szCs w:val="26"/>
        </w:rPr>
        <w:t xml:space="preserve"> (SR&amp;ED)</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Не применяется консолидации, налоговых освобождений для групп и перевода прибыли внутри связанных участников для целей налогообложения. Убытки от владения капиталом подлежат зачету в случае наличия выгоды от владения капиталом. Но не за счет текущего дохода компании. </w:t>
      </w:r>
      <w:proofErr w:type="gramStart"/>
      <w:r w:rsidRPr="00D50C42">
        <w:rPr>
          <w:rFonts w:ascii="Times New Roman" w:hAnsi="Times New Roman" w:cs="Times New Roman"/>
          <w:sz w:val="26"/>
          <w:szCs w:val="26"/>
        </w:rPr>
        <w:t>Режим (</w:t>
      </w:r>
      <w:r w:rsidRPr="00D50C42">
        <w:rPr>
          <w:rFonts w:ascii="Times New Roman" w:hAnsi="Times New Roman" w:cs="Times New Roman"/>
          <w:sz w:val="26"/>
          <w:szCs w:val="26"/>
          <w:lang w:val="en-US"/>
        </w:rPr>
        <w:t>IC</w:t>
      </w:r>
      <w:r w:rsidRPr="00D50C42">
        <w:rPr>
          <w:rFonts w:ascii="Times New Roman" w:hAnsi="Times New Roman" w:cs="Times New Roman"/>
          <w:sz w:val="26"/>
          <w:szCs w:val="26"/>
        </w:rPr>
        <w:t xml:space="preserve"> – </w:t>
      </w:r>
      <w:r w:rsidRPr="00D50C42">
        <w:rPr>
          <w:rFonts w:ascii="Times New Roman" w:hAnsi="Times New Roman" w:cs="Times New Roman"/>
          <w:sz w:val="26"/>
          <w:szCs w:val="26"/>
          <w:lang w:val="en-US"/>
        </w:rPr>
        <w:t>R</w:t>
      </w:r>
      <w:r w:rsidRPr="00D50C42">
        <w:rPr>
          <w:rFonts w:ascii="Times New Roman" w:hAnsi="Times New Roman" w:cs="Times New Roman"/>
          <w:sz w:val="26"/>
          <w:szCs w:val="26"/>
        </w:rPr>
        <w:t>&amp;</w:t>
      </w:r>
      <w:r w:rsidRPr="00D50C42">
        <w:rPr>
          <w:rFonts w:ascii="Times New Roman" w:hAnsi="Times New Roman" w:cs="Times New Roman"/>
          <w:sz w:val="26"/>
          <w:szCs w:val="26"/>
          <w:lang w:val="en-US"/>
        </w:rPr>
        <w:t>D</w:t>
      </w:r>
      <w:r w:rsidRPr="00D50C42">
        <w:rPr>
          <w:rFonts w:ascii="Times New Roman" w:hAnsi="Times New Roman" w:cs="Times New Roman"/>
          <w:sz w:val="26"/>
          <w:szCs w:val="26"/>
        </w:rPr>
        <w:t xml:space="preserve">, ставка 15%),  где </w:t>
      </w:r>
      <w:r w:rsidRPr="00D50C42">
        <w:rPr>
          <w:rFonts w:ascii="Times New Roman" w:hAnsi="Times New Roman" w:cs="Times New Roman"/>
          <w:sz w:val="26"/>
          <w:szCs w:val="26"/>
          <w:lang w:val="en-US"/>
        </w:rPr>
        <w:t>IC</w:t>
      </w:r>
      <w:r w:rsidRPr="00D50C42">
        <w:rPr>
          <w:rFonts w:ascii="Times New Roman" w:hAnsi="Times New Roman" w:cs="Times New Roman"/>
          <w:sz w:val="26"/>
          <w:szCs w:val="26"/>
        </w:rPr>
        <w:t xml:space="preserve"> – </w:t>
      </w:r>
      <w:r w:rsidRPr="00D50C42">
        <w:rPr>
          <w:rFonts w:ascii="Times New Roman" w:hAnsi="Times New Roman" w:cs="Times New Roman"/>
          <w:sz w:val="26"/>
          <w:szCs w:val="26"/>
          <w:lang w:val="en-US"/>
        </w:rPr>
        <w:t>Investment</w:t>
      </w:r>
      <w:r w:rsidRPr="00D50C42">
        <w:rPr>
          <w:rFonts w:ascii="Times New Roman" w:hAnsi="Times New Roman" w:cs="Times New Roman"/>
          <w:sz w:val="26"/>
          <w:szCs w:val="26"/>
        </w:rPr>
        <w:t xml:space="preserve"> </w:t>
      </w:r>
      <w:r w:rsidRPr="00D50C42">
        <w:rPr>
          <w:rFonts w:ascii="Times New Roman" w:hAnsi="Times New Roman" w:cs="Times New Roman"/>
          <w:sz w:val="26"/>
          <w:szCs w:val="26"/>
          <w:lang w:val="en-US"/>
        </w:rPr>
        <w:t>Credit</w:t>
      </w:r>
      <w:r w:rsidRPr="00D50C42">
        <w:rPr>
          <w:rFonts w:ascii="Times New Roman" w:hAnsi="Times New Roman" w:cs="Times New Roman"/>
          <w:sz w:val="26"/>
          <w:szCs w:val="26"/>
        </w:rPr>
        <w:t xml:space="preserve">, </w:t>
      </w:r>
      <w:r w:rsidRPr="00D50C42">
        <w:rPr>
          <w:rFonts w:ascii="Times New Roman" w:hAnsi="Times New Roman" w:cs="Times New Roman"/>
          <w:sz w:val="26"/>
          <w:szCs w:val="26"/>
          <w:lang w:val="en-US"/>
        </w:rPr>
        <w:t>R</w:t>
      </w:r>
      <w:r w:rsidRPr="00D50C42">
        <w:rPr>
          <w:rFonts w:ascii="Times New Roman" w:hAnsi="Times New Roman" w:cs="Times New Roman"/>
          <w:sz w:val="26"/>
          <w:szCs w:val="26"/>
        </w:rPr>
        <w:t>&amp;</w:t>
      </w:r>
      <w:r w:rsidRPr="00D50C42">
        <w:rPr>
          <w:rFonts w:ascii="Times New Roman" w:hAnsi="Times New Roman" w:cs="Times New Roman"/>
          <w:sz w:val="26"/>
          <w:szCs w:val="26"/>
          <w:lang w:val="en-US"/>
        </w:rPr>
        <w:t>D</w:t>
      </w:r>
      <w:r w:rsidRPr="00D50C42">
        <w:rPr>
          <w:rFonts w:ascii="Times New Roman" w:hAnsi="Times New Roman" w:cs="Times New Roman"/>
          <w:sz w:val="26"/>
          <w:szCs w:val="26"/>
        </w:rPr>
        <w:t xml:space="preserve"> – </w:t>
      </w:r>
      <w:r w:rsidRPr="00D50C42">
        <w:rPr>
          <w:rFonts w:ascii="Times New Roman" w:hAnsi="Times New Roman" w:cs="Times New Roman"/>
          <w:sz w:val="26"/>
          <w:szCs w:val="26"/>
          <w:lang w:val="en-US"/>
        </w:rPr>
        <w:t>Research</w:t>
      </w:r>
      <w:r w:rsidRPr="00D50C42">
        <w:rPr>
          <w:rFonts w:ascii="Times New Roman" w:hAnsi="Times New Roman" w:cs="Times New Roman"/>
          <w:sz w:val="26"/>
          <w:szCs w:val="26"/>
        </w:rPr>
        <w:t xml:space="preserve"> </w:t>
      </w:r>
      <w:r w:rsidRPr="00D50C42">
        <w:rPr>
          <w:rFonts w:ascii="Times New Roman" w:hAnsi="Times New Roman" w:cs="Times New Roman"/>
          <w:sz w:val="26"/>
          <w:szCs w:val="26"/>
          <w:lang w:val="en-US"/>
        </w:rPr>
        <w:t>and</w:t>
      </w:r>
      <w:r w:rsidRPr="00D50C42">
        <w:rPr>
          <w:rFonts w:ascii="Times New Roman" w:hAnsi="Times New Roman" w:cs="Times New Roman"/>
          <w:sz w:val="26"/>
          <w:szCs w:val="26"/>
        </w:rPr>
        <w:t xml:space="preserve"> </w:t>
      </w:r>
      <w:r w:rsidRPr="00D50C42">
        <w:rPr>
          <w:rFonts w:ascii="Times New Roman" w:hAnsi="Times New Roman" w:cs="Times New Roman"/>
          <w:sz w:val="26"/>
          <w:szCs w:val="26"/>
          <w:lang w:val="en-US"/>
        </w:rPr>
        <w:t>Development</w:t>
      </w:r>
      <w:r w:rsidRPr="00D50C42">
        <w:rPr>
          <w:rFonts w:ascii="Times New Roman" w:hAnsi="Times New Roman" w:cs="Times New Roman"/>
          <w:sz w:val="26"/>
          <w:szCs w:val="26"/>
        </w:rPr>
        <w:t>).</w:t>
      </w:r>
      <w:proofErr w:type="gramEnd"/>
      <w:r w:rsidRPr="00D50C42">
        <w:rPr>
          <w:rFonts w:ascii="Times New Roman" w:hAnsi="Times New Roman" w:cs="Times New Roman"/>
          <w:sz w:val="26"/>
          <w:szCs w:val="26"/>
        </w:rPr>
        <w:t xml:space="preserve"> Используется сложная система амортизационных отчислений и инвестиционных налоговых вычетов. </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Функционирует целая сеть специализированных фондов, общей задачей которых является стимулирование прироста запасов и добычи нефти и газа.</w:t>
      </w:r>
    </w:p>
    <w:p w:rsidR="00A44E5D" w:rsidRPr="00D50C42" w:rsidRDefault="00A44E5D" w:rsidP="00A24C32">
      <w:pPr>
        <w:spacing w:after="120" w:line="240" w:lineRule="auto"/>
        <w:ind w:firstLine="709"/>
        <w:jc w:val="both"/>
        <w:rPr>
          <w:rFonts w:ascii="Times New Roman" w:hAnsi="Times New Roman" w:cs="Times New Roman"/>
          <w:sz w:val="26"/>
          <w:szCs w:val="26"/>
        </w:rPr>
      </w:pPr>
      <w:proofErr w:type="spellStart"/>
      <w:r w:rsidRPr="00D50C42">
        <w:rPr>
          <w:rFonts w:ascii="Times New Roman" w:hAnsi="Times New Roman" w:cs="Times New Roman"/>
          <w:sz w:val="26"/>
          <w:szCs w:val="26"/>
        </w:rPr>
        <w:t>Canadian</w:t>
      </w:r>
      <w:proofErr w:type="spellEnd"/>
      <w:r w:rsidRPr="00D50C42">
        <w:rPr>
          <w:rFonts w:ascii="Times New Roman" w:hAnsi="Times New Roman" w:cs="Times New Roman"/>
          <w:sz w:val="26"/>
          <w:szCs w:val="26"/>
        </w:rPr>
        <w:t xml:space="preserve"> </w:t>
      </w:r>
      <w:proofErr w:type="spellStart"/>
      <w:r w:rsidRPr="00D50C42">
        <w:rPr>
          <w:rFonts w:ascii="Times New Roman" w:hAnsi="Times New Roman" w:cs="Times New Roman"/>
          <w:sz w:val="26"/>
          <w:szCs w:val="26"/>
        </w:rPr>
        <w:t>Oil</w:t>
      </w:r>
      <w:proofErr w:type="spellEnd"/>
      <w:r w:rsidRPr="00D50C42">
        <w:rPr>
          <w:rFonts w:ascii="Times New Roman" w:hAnsi="Times New Roman" w:cs="Times New Roman"/>
          <w:sz w:val="26"/>
          <w:szCs w:val="26"/>
        </w:rPr>
        <w:t xml:space="preserve"> </w:t>
      </w:r>
      <w:proofErr w:type="spellStart"/>
      <w:r w:rsidRPr="00D50C42">
        <w:rPr>
          <w:rFonts w:ascii="Times New Roman" w:hAnsi="Times New Roman" w:cs="Times New Roman"/>
          <w:sz w:val="26"/>
          <w:szCs w:val="26"/>
        </w:rPr>
        <w:t>and</w:t>
      </w:r>
      <w:proofErr w:type="spellEnd"/>
      <w:r w:rsidRPr="00D50C42">
        <w:rPr>
          <w:rFonts w:ascii="Times New Roman" w:hAnsi="Times New Roman" w:cs="Times New Roman"/>
          <w:sz w:val="26"/>
          <w:szCs w:val="26"/>
        </w:rPr>
        <w:t xml:space="preserve"> </w:t>
      </w:r>
      <w:proofErr w:type="spellStart"/>
      <w:r w:rsidRPr="00D50C42">
        <w:rPr>
          <w:rFonts w:ascii="Times New Roman" w:hAnsi="Times New Roman" w:cs="Times New Roman"/>
          <w:sz w:val="26"/>
          <w:szCs w:val="26"/>
        </w:rPr>
        <w:t>Gas</w:t>
      </w:r>
      <w:proofErr w:type="spellEnd"/>
      <w:r w:rsidRPr="00D50C42">
        <w:rPr>
          <w:rFonts w:ascii="Times New Roman" w:hAnsi="Times New Roman" w:cs="Times New Roman"/>
          <w:sz w:val="26"/>
          <w:szCs w:val="26"/>
        </w:rPr>
        <w:t xml:space="preserve"> </w:t>
      </w:r>
      <w:proofErr w:type="spellStart"/>
      <w:r w:rsidRPr="00D50C42">
        <w:rPr>
          <w:rFonts w:ascii="Times New Roman" w:hAnsi="Times New Roman" w:cs="Times New Roman"/>
          <w:sz w:val="26"/>
          <w:szCs w:val="26"/>
        </w:rPr>
        <w:t>Property</w:t>
      </w:r>
      <w:proofErr w:type="spellEnd"/>
      <w:r w:rsidRPr="00D50C42">
        <w:rPr>
          <w:rFonts w:ascii="Times New Roman" w:hAnsi="Times New Roman" w:cs="Times New Roman"/>
          <w:sz w:val="26"/>
          <w:szCs w:val="26"/>
        </w:rPr>
        <w:t xml:space="preserve"> </w:t>
      </w:r>
      <w:proofErr w:type="spellStart"/>
      <w:r w:rsidRPr="00D50C42">
        <w:rPr>
          <w:rFonts w:ascii="Times New Roman" w:hAnsi="Times New Roman" w:cs="Times New Roman"/>
          <w:sz w:val="26"/>
          <w:szCs w:val="26"/>
        </w:rPr>
        <w:t>Expense</w:t>
      </w:r>
      <w:proofErr w:type="spellEnd"/>
      <w:r w:rsidRPr="00D50C42">
        <w:rPr>
          <w:rFonts w:ascii="Times New Roman" w:hAnsi="Times New Roman" w:cs="Times New Roman"/>
          <w:sz w:val="26"/>
          <w:szCs w:val="26"/>
        </w:rPr>
        <w:t xml:space="preserve"> (COGPE) </w:t>
      </w:r>
      <w:proofErr w:type="gramStart"/>
      <w:r w:rsidRPr="00D50C42">
        <w:rPr>
          <w:rFonts w:ascii="Times New Roman" w:hAnsi="Times New Roman" w:cs="Times New Roman"/>
          <w:sz w:val="26"/>
          <w:szCs w:val="26"/>
        </w:rPr>
        <w:t>создан</w:t>
      </w:r>
      <w:proofErr w:type="gramEnd"/>
      <w:r w:rsidRPr="00D50C42">
        <w:rPr>
          <w:rFonts w:ascii="Times New Roman" w:hAnsi="Times New Roman" w:cs="Times New Roman"/>
          <w:sz w:val="26"/>
          <w:szCs w:val="26"/>
        </w:rPr>
        <w:t xml:space="preserve"> для аккумулирования стоимости прав на разработку газовых и нефтяных месторождений. Каждый год стоимость фонда увеличивается на размер новых приобретений и уменьшается размер предоставляемых налоговых вычетов, на которые претендуют налогоплательщики. Этот фонд не включает стоимость движимого имущества или амортизируемой собственности, например, оборудования для нефтегазового сектора. Требования на получение вычетов могут </w:t>
      </w:r>
      <w:proofErr w:type="gramStart"/>
      <w:r w:rsidRPr="00D50C42">
        <w:rPr>
          <w:rFonts w:ascii="Times New Roman" w:hAnsi="Times New Roman" w:cs="Times New Roman"/>
          <w:sz w:val="26"/>
          <w:szCs w:val="26"/>
        </w:rPr>
        <w:t>заявляться</w:t>
      </w:r>
      <w:proofErr w:type="gramEnd"/>
      <w:r w:rsidRPr="00D50C42">
        <w:rPr>
          <w:rFonts w:ascii="Times New Roman" w:hAnsi="Times New Roman" w:cs="Times New Roman"/>
          <w:sz w:val="26"/>
          <w:szCs w:val="26"/>
        </w:rPr>
        <w:t xml:space="preserve"> в суммах, не превышающих 10% стоимости фонда, на которую еще не предъявлены требования на получение вычетов. </w:t>
      </w:r>
    </w:p>
    <w:p w:rsidR="00A44E5D" w:rsidRPr="00D50C42" w:rsidRDefault="00A44E5D" w:rsidP="00A24C32">
      <w:pPr>
        <w:spacing w:after="120" w:line="240" w:lineRule="auto"/>
        <w:ind w:firstLine="709"/>
        <w:jc w:val="both"/>
        <w:rPr>
          <w:rFonts w:ascii="Times New Roman" w:hAnsi="Times New Roman" w:cs="Times New Roman"/>
          <w:sz w:val="26"/>
          <w:szCs w:val="26"/>
        </w:rPr>
      </w:pPr>
      <w:proofErr w:type="spellStart"/>
      <w:r w:rsidRPr="00D50C42">
        <w:rPr>
          <w:rFonts w:ascii="Times New Roman" w:hAnsi="Times New Roman" w:cs="Times New Roman"/>
          <w:sz w:val="26"/>
          <w:szCs w:val="26"/>
        </w:rPr>
        <w:t>Canadian</w:t>
      </w:r>
      <w:proofErr w:type="spellEnd"/>
      <w:r w:rsidRPr="00D50C42">
        <w:rPr>
          <w:rFonts w:ascii="Times New Roman" w:hAnsi="Times New Roman" w:cs="Times New Roman"/>
          <w:sz w:val="26"/>
          <w:szCs w:val="26"/>
        </w:rPr>
        <w:t xml:space="preserve"> </w:t>
      </w:r>
      <w:proofErr w:type="spellStart"/>
      <w:r w:rsidRPr="00D50C42">
        <w:rPr>
          <w:rFonts w:ascii="Times New Roman" w:hAnsi="Times New Roman" w:cs="Times New Roman"/>
          <w:sz w:val="26"/>
          <w:szCs w:val="26"/>
        </w:rPr>
        <w:t>Exploration</w:t>
      </w:r>
      <w:proofErr w:type="spellEnd"/>
      <w:r w:rsidRPr="00D50C42">
        <w:rPr>
          <w:rFonts w:ascii="Times New Roman" w:hAnsi="Times New Roman" w:cs="Times New Roman"/>
          <w:sz w:val="26"/>
          <w:szCs w:val="26"/>
        </w:rPr>
        <w:t xml:space="preserve"> </w:t>
      </w:r>
      <w:proofErr w:type="spellStart"/>
      <w:r w:rsidRPr="00D50C42">
        <w:rPr>
          <w:rFonts w:ascii="Times New Roman" w:hAnsi="Times New Roman" w:cs="Times New Roman"/>
          <w:sz w:val="26"/>
          <w:szCs w:val="26"/>
        </w:rPr>
        <w:t>Expense</w:t>
      </w:r>
      <w:proofErr w:type="spellEnd"/>
      <w:r w:rsidRPr="00D50C42">
        <w:rPr>
          <w:rFonts w:ascii="Times New Roman" w:hAnsi="Times New Roman" w:cs="Times New Roman"/>
          <w:sz w:val="26"/>
          <w:szCs w:val="26"/>
        </w:rPr>
        <w:t xml:space="preserve"> (CEE) аккумулирует стоимость расходов на открытие и разведку новых месторождений. Логика его расходования аналогична COGPE, однако требования на получение вычетов могут </w:t>
      </w:r>
      <w:proofErr w:type="gramStart"/>
      <w:r w:rsidRPr="00D50C42">
        <w:rPr>
          <w:rFonts w:ascii="Times New Roman" w:hAnsi="Times New Roman" w:cs="Times New Roman"/>
          <w:sz w:val="26"/>
          <w:szCs w:val="26"/>
        </w:rPr>
        <w:t>заявляться</w:t>
      </w:r>
      <w:proofErr w:type="gramEnd"/>
      <w:r w:rsidRPr="00D50C42">
        <w:rPr>
          <w:rFonts w:ascii="Times New Roman" w:hAnsi="Times New Roman" w:cs="Times New Roman"/>
          <w:sz w:val="26"/>
          <w:szCs w:val="26"/>
        </w:rPr>
        <w:t xml:space="preserve"> в суммах, не превышающих 100% стоимости фонда, на которую еще не предъявлены требования на получение вычетов. </w:t>
      </w:r>
    </w:p>
    <w:p w:rsidR="00A44E5D" w:rsidRPr="00D50C42" w:rsidRDefault="00A44E5D" w:rsidP="00A24C32">
      <w:pPr>
        <w:spacing w:after="120" w:line="240" w:lineRule="auto"/>
        <w:ind w:firstLine="709"/>
        <w:jc w:val="both"/>
        <w:rPr>
          <w:rFonts w:ascii="Times New Roman" w:hAnsi="Times New Roman" w:cs="Times New Roman"/>
          <w:sz w:val="26"/>
          <w:szCs w:val="26"/>
        </w:rPr>
      </w:pPr>
      <w:proofErr w:type="gramStart"/>
      <w:r w:rsidRPr="00D50C42">
        <w:rPr>
          <w:rFonts w:ascii="Times New Roman" w:hAnsi="Times New Roman" w:cs="Times New Roman"/>
          <w:sz w:val="26"/>
          <w:szCs w:val="26"/>
          <w:lang w:val="en-US"/>
        </w:rPr>
        <w:t>Canadian</w:t>
      </w:r>
      <w:r w:rsidRPr="00D50C42">
        <w:rPr>
          <w:rFonts w:ascii="Times New Roman" w:hAnsi="Times New Roman" w:cs="Times New Roman"/>
          <w:sz w:val="26"/>
          <w:szCs w:val="26"/>
        </w:rPr>
        <w:t xml:space="preserve"> </w:t>
      </w:r>
      <w:r w:rsidRPr="00D50C42">
        <w:rPr>
          <w:rFonts w:ascii="Times New Roman" w:hAnsi="Times New Roman" w:cs="Times New Roman"/>
          <w:sz w:val="26"/>
          <w:szCs w:val="26"/>
          <w:lang w:val="en-US"/>
        </w:rPr>
        <w:t>Development</w:t>
      </w:r>
      <w:r w:rsidRPr="00D50C42">
        <w:rPr>
          <w:rFonts w:ascii="Times New Roman" w:hAnsi="Times New Roman" w:cs="Times New Roman"/>
          <w:sz w:val="26"/>
          <w:szCs w:val="26"/>
        </w:rPr>
        <w:t xml:space="preserve"> </w:t>
      </w:r>
      <w:r w:rsidRPr="00D50C42">
        <w:rPr>
          <w:rFonts w:ascii="Times New Roman" w:hAnsi="Times New Roman" w:cs="Times New Roman"/>
          <w:sz w:val="26"/>
          <w:szCs w:val="26"/>
          <w:lang w:val="en-US"/>
        </w:rPr>
        <w:t>Expense</w:t>
      </w:r>
      <w:r w:rsidRPr="00D50C42">
        <w:rPr>
          <w:rFonts w:ascii="Times New Roman" w:hAnsi="Times New Roman" w:cs="Times New Roman"/>
          <w:sz w:val="26"/>
          <w:szCs w:val="26"/>
        </w:rPr>
        <w:t xml:space="preserve"> (</w:t>
      </w:r>
      <w:r w:rsidRPr="00D50C42">
        <w:rPr>
          <w:rFonts w:ascii="Times New Roman" w:hAnsi="Times New Roman" w:cs="Times New Roman"/>
          <w:sz w:val="26"/>
          <w:szCs w:val="26"/>
          <w:lang w:val="en-US"/>
        </w:rPr>
        <w:t>CDE</w:t>
      </w:r>
      <w:r w:rsidRPr="00D50C42">
        <w:rPr>
          <w:rFonts w:ascii="Times New Roman" w:hAnsi="Times New Roman" w:cs="Times New Roman"/>
          <w:sz w:val="26"/>
          <w:szCs w:val="26"/>
        </w:rPr>
        <w:t xml:space="preserve">) аккумулирует расходы на бурение и разработку скважин, а </w:t>
      </w:r>
      <w:r w:rsidRPr="00D50C42">
        <w:rPr>
          <w:rFonts w:ascii="Times New Roman" w:hAnsi="Times New Roman" w:cs="Times New Roman"/>
          <w:sz w:val="26"/>
          <w:szCs w:val="26"/>
          <w:lang w:val="en-US"/>
        </w:rPr>
        <w:t>Foreign</w:t>
      </w:r>
      <w:r w:rsidRPr="00D50C42">
        <w:rPr>
          <w:rFonts w:ascii="Times New Roman" w:hAnsi="Times New Roman" w:cs="Times New Roman"/>
          <w:sz w:val="26"/>
          <w:szCs w:val="26"/>
        </w:rPr>
        <w:t xml:space="preserve"> </w:t>
      </w:r>
      <w:r w:rsidRPr="00D50C42">
        <w:rPr>
          <w:rFonts w:ascii="Times New Roman" w:hAnsi="Times New Roman" w:cs="Times New Roman"/>
          <w:sz w:val="26"/>
          <w:szCs w:val="26"/>
          <w:lang w:val="en-US"/>
        </w:rPr>
        <w:t>Resource</w:t>
      </w:r>
      <w:r w:rsidRPr="00D50C42">
        <w:rPr>
          <w:rFonts w:ascii="Times New Roman" w:hAnsi="Times New Roman" w:cs="Times New Roman"/>
          <w:sz w:val="26"/>
          <w:szCs w:val="26"/>
        </w:rPr>
        <w:t xml:space="preserve"> </w:t>
      </w:r>
      <w:r w:rsidRPr="00D50C42">
        <w:rPr>
          <w:rFonts w:ascii="Times New Roman" w:hAnsi="Times New Roman" w:cs="Times New Roman"/>
          <w:sz w:val="26"/>
          <w:szCs w:val="26"/>
          <w:lang w:val="en-US"/>
        </w:rPr>
        <w:t>Expense</w:t>
      </w:r>
      <w:r w:rsidRPr="00D50C42">
        <w:rPr>
          <w:rFonts w:ascii="Times New Roman" w:hAnsi="Times New Roman" w:cs="Times New Roman"/>
          <w:sz w:val="26"/>
          <w:szCs w:val="26"/>
        </w:rPr>
        <w:t xml:space="preserve"> (</w:t>
      </w:r>
      <w:r w:rsidRPr="00D50C42">
        <w:rPr>
          <w:rFonts w:ascii="Times New Roman" w:hAnsi="Times New Roman" w:cs="Times New Roman"/>
          <w:sz w:val="26"/>
          <w:szCs w:val="26"/>
          <w:lang w:val="en-US"/>
        </w:rPr>
        <w:t>FRE</w:t>
      </w:r>
      <w:r w:rsidRPr="00D50C42">
        <w:rPr>
          <w:rFonts w:ascii="Times New Roman" w:hAnsi="Times New Roman" w:cs="Times New Roman"/>
          <w:sz w:val="26"/>
          <w:szCs w:val="26"/>
        </w:rPr>
        <w:t>) - прав на добычу и расходы на разведку, бурение скважин и добычу за рубежом (формируется для каждой страны отдельно).</w:t>
      </w:r>
      <w:proofErr w:type="gramEnd"/>
      <w:r w:rsidRPr="00D50C42">
        <w:rPr>
          <w:rFonts w:ascii="Times New Roman" w:hAnsi="Times New Roman" w:cs="Times New Roman"/>
          <w:sz w:val="26"/>
          <w:szCs w:val="26"/>
        </w:rPr>
        <w:t xml:space="preserve"> Расходы на приобретение оборудования для скважин аккумулируются в специальном фонде (</w:t>
      </w:r>
      <w:proofErr w:type="spellStart"/>
      <w:r w:rsidRPr="00D50C42">
        <w:rPr>
          <w:rFonts w:ascii="Times New Roman" w:hAnsi="Times New Roman" w:cs="Times New Roman"/>
          <w:sz w:val="26"/>
          <w:szCs w:val="26"/>
        </w:rPr>
        <w:t>Class</w:t>
      </w:r>
      <w:proofErr w:type="spellEnd"/>
      <w:r w:rsidRPr="00D50C42">
        <w:rPr>
          <w:rFonts w:ascii="Times New Roman" w:hAnsi="Times New Roman" w:cs="Times New Roman"/>
          <w:sz w:val="26"/>
          <w:szCs w:val="26"/>
        </w:rPr>
        <w:t xml:space="preserve"> 41). </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Ставка налогов на дивиденды, проценты, роялти и аналогичные платежи устанавливается в размере 25%. Однако конкретные размеры определяются положениями договоров об </w:t>
      </w:r>
      <w:proofErr w:type="spellStart"/>
      <w:r w:rsidRPr="00D50C42">
        <w:rPr>
          <w:rFonts w:ascii="Times New Roman" w:hAnsi="Times New Roman" w:cs="Times New Roman"/>
          <w:sz w:val="26"/>
          <w:szCs w:val="26"/>
        </w:rPr>
        <w:t>избежании</w:t>
      </w:r>
      <w:proofErr w:type="spellEnd"/>
      <w:r w:rsidRPr="00D50C42">
        <w:rPr>
          <w:rFonts w:ascii="Times New Roman" w:hAnsi="Times New Roman" w:cs="Times New Roman"/>
          <w:sz w:val="26"/>
          <w:szCs w:val="26"/>
        </w:rPr>
        <w:t xml:space="preserve"> двойного налогообложения.</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Ставка налога на добавленную стоимость 13% (с некоторой вариацией по провинциям). В отдельных провинциях также действуют налоги с продаж</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Благодаря 4-кратному увеличению объема запасов нефти в 1999 году, темпы добычи стали повышаться и сегодня Канада по уровню добычи вышла на 4 место в </w:t>
      </w:r>
      <w:r w:rsidRPr="00D50C42">
        <w:rPr>
          <w:rFonts w:ascii="Times New Roman" w:hAnsi="Times New Roman" w:cs="Times New Roman"/>
          <w:sz w:val="26"/>
          <w:szCs w:val="26"/>
        </w:rPr>
        <w:lastRenderedPageBreak/>
        <w:t xml:space="preserve">мире (4,3 млн. </w:t>
      </w:r>
      <w:proofErr w:type="spellStart"/>
      <w:r w:rsidRPr="00D50C42">
        <w:rPr>
          <w:rFonts w:ascii="Times New Roman" w:hAnsi="Times New Roman" w:cs="Times New Roman"/>
          <w:sz w:val="26"/>
          <w:szCs w:val="26"/>
        </w:rPr>
        <w:t>барр</w:t>
      </w:r>
      <w:proofErr w:type="spellEnd"/>
      <w:r w:rsidRPr="00D50C42">
        <w:rPr>
          <w:rFonts w:ascii="Times New Roman" w:hAnsi="Times New Roman" w:cs="Times New Roman"/>
          <w:sz w:val="26"/>
          <w:szCs w:val="26"/>
        </w:rPr>
        <w:t>. в сутки), опередив Китай. Обеспеченность запасами составляет 110 лет.</w:t>
      </w:r>
    </w:p>
    <w:p w:rsidR="00A44E5D" w:rsidRDefault="00A44E5D" w:rsidP="00A44E5D">
      <w:pPr>
        <w:spacing w:after="120"/>
        <w:ind w:firstLine="709"/>
        <w:jc w:val="both"/>
        <w:rPr>
          <w:rFonts w:ascii="Times New Roman" w:hAnsi="Times New Roman" w:cs="Times New Roman"/>
          <w:sz w:val="24"/>
          <w:szCs w:val="24"/>
        </w:rPr>
      </w:pPr>
    </w:p>
    <w:p w:rsidR="00A44E5D" w:rsidRPr="00BB3EF1" w:rsidRDefault="00A44E5D" w:rsidP="00A44E5D">
      <w:pPr>
        <w:spacing w:after="120"/>
        <w:ind w:firstLine="709"/>
        <w:jc w:val="both"/>
        <w:rPr>
          <w:rFonts w:ascii="Times New Roman" w:hAnsi="Times New Roman" w:cs="Times New Roman"/>
          <w:b/>
          <w:i/>
          <w:sz w:val="20"/>
          <w:szCs w:val="24"/>
        </w:rPr>
      </w:pPr>
      <w:r w:rsidRPr="00BB3EF1">
        <w:rPr>
          <w:rFonts w:ascii="Times New Roman" w:hAnsi="Times New Roman" w:cs="Times New Roman"/>
          <w:b/>
          <w:i/>
          <w:sz w:val="20"/>
          <w:szCs w:val="24"/>
        </w:rPr>
        <w:t>Динамика нефтедобывающего сектора Норвегии</w:t>
      </w:r>
    </w:p>
    <w:p w:rsidR="00A44E5D" w:rsidRDefault="00A44E5D" w:rsidP="00A44E5D">
      <w:pPr>
        <w:spacing w:after="120"/>
        <w:jc w:val="both"/>
        <w:rPr>
          <w:rFonts w:ascii="Times New Roman" w:hAnsi="Times New Roman" w:cs="Times New Roman"/>
          <w:sz w:val="24"/>
          <w:szCs w:val="24"/>
        </w:rPr>
      </w:pPr>
      <w:r w:rsidRPr="003641F2">
        <w:rPr>
          <w:rFonts w:ascii="Times New Roman" w:hAnsi="Times New Roman" w:cs="Times New Roman"/>
          <w:noProof/>
          <w:sz w:val="24"/>
          <w:szCs w:val="24"/>
          <w:lang w:eastAsia="ru-RU"/>
        </w:rPr>
        <w:drawing>
          <wp:inline distT="0" distB="0" distL="0" distR="0" wp14:anchorId="56EB31F0" wp14:editId="17E7AFA3">
            <wp:extent cx="5940425" cy="2086414"/>
            <wp:effectExtent l="0" t="0" r="3175" b="0"/>
            <wp:docPr id="7"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44E5D" w:rsidRPr="00BB3EF1" w:rsidRDefault="00A44E5D" w:rsidP="00A44E5D">
      <w:pPr>
        <w:spacing w:after="120"/>
        <w:ind w:firstLine="709"/>
        <w:jc w:val="both"/>
        <w:rPr>
          <w:rFonts w:ascii="Times New Roman" w:hAnsi="Times New Roman" w:cs="Times New Roman"/>
          <w:i/>
          <w:sz w:val="20"/>
          <w:szCs w:val="24"/>
          <w:lang w:val="en-US"/>
        </w:rPr>
      </w:pPr>
      <w:r w:rsidRPr="00BB3EF1">
        <w:rPr>
          <w:rFonts w:ascii="Times New Roman" w:hAnsi="Times New Roman" w:cs="Times New Roman"/>
          <w:i/>
          <w:sz w:val="20"/>
          <w:szCs w:val="24"/>
        </w:rPr>
        <w:t>Источник</w:t>
      </w:r>
      <w:r w:rsidRPr="00BB3EF1">
        <w:rPr>
          <w:rFonts w:ascii="Times New Roman" w:hAnsi="Times New Roman" w:cs="Times New Roman"/>
          <w:i/>
          <w:sz w:val="20"/>
          <w:szCs w:val="24"/>
          <w:lang w:val="en-US"/>
        </w:rPr>
        <w:t>: BP Statistical Review of World Energy June 2015</w:t>
      </w:r>
    </w:p>
    <w:p w:rsidR="00A44E5D" w:rsidRPr="00D50C42" w:rsidRDefault="00A44E5D" w:rsidP="00A24C32">
      <w:pPr>
        <w:spacing w:after="120" w:line="240" w:lineRule="auto"/>
        <w:ind w:firstLine="709"/>
        <w:jc w:val="both"/>
        <w:rPr>
          <w:rFonts w:ascii="Times New Roman" w:hAnsi="Times New Roman" w:cs="Times New Roman"/>
          <w:sz w:val="26"/>
          <w:szCs w:val="26"/>
          <w:lang w:val="en-US"/>
        </w:rPr>
      </w:pP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В Норвегии компании, осуществляющие добычу в установленных географических областях, уплачивают в совокупности налог по ставке 78% (27% налог на доходы корпораций; 51% ресурсный налог).</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Кроме того, применяются </w:t>
      </w:r>
      <w:proofErr w:type="spellStart"/>
      <w:r w:rsidRPr="00D50C42">
        <w:rPr>
          <w:rFonts w:ascii="Times New Roman" w:hAnsi="Times New Roman" w:cs="Times New Roman"/>
          <w:sz w:val="26"/>
          <w:szCs w:val="26"/>
        </w:rPr>
        <w:t>ренталс</w:t>
      </w:r>
      <w:proofErr w:type="spellEnd"/>
      <w:r w:rsidRPr="00D50C42">
        <w:rPr>
          <w:rFonts w:ascii="Times New Roman" w:hAnsi="Times New Roman" w:cs="Times New Roman"/>
          <w:sz w:val="26"/>
          <w:szCs w:val="26"/>
        </w:rPr>
        <w:t>, и сбор за выброс углекислого газа (начисляется в зависимости от объемов сжигаемого попутного газа).</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Налоговая система основана на обложении юридического лица, а не активов или конкретных видов разрешенной деятельности.</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Убытки могут быть перенесены на будущие периоды. Режим ежегодно корректируется Министерством финансов. Предусмотрена возможность амортизационных списаний за 6 лет.</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Налог у источника не удерживается, если выплаты дивидендов осуществляются владельцу более 25% акций. Остальные особенности зависят от условий конкретных договоров об </w:t>
      </w:r>
      <w:proofErr w:type="spellStart"/>
      <w:r w:rsidRPr="00D50C42">
        <w:rPr>
          <w:rFonts w:ascii="Times New Roman" w:hAnsi="Times New Roman" w:cs="Times New Roman"/>
          <w:sz w:val="26"/>
          <w:szCs w:val="26"/>
        </w:rPr>
        <w:t>избежании</w:t>
      </w:r>
      <w:proofErr w:type="spellEnd"/>
      <w:r w:rsidRPr="00D50C42">
        <w:rPr>
          <w:rFonts w:ascii="Times New Roman" w:hAnsi="Times New Roman" w:cs="Times New Roman"/>
          <w:sz w:val="26"/>
          <w:szCs w:val="26"/>
        </w:rPr>
        <w:t xml:space="preserve"> двойного налогообложения. </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Приобретение оборудования и иных объектов и активов для добывающих компаний не облагается НДС.</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Действует субсидирование затрат на геологоразведочные работы, которые вычитаются из сумм, уплачиваемых компанией налогов, выдаются налоговые кредиты на морские месторождения.</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Основным участником всех нефтегазовых проектов является </w:t>
      </w:r>
      <w:proofErr w:type="gramStart"/>
      <w:r w:rsidRPr="00D50C42">
        <w:rPr>
          <w:rFonts w:ascii="Times New Roman" w:hAnsi="Times New Roman" w:cs="Times New Roman"/>
          <w:sz w:val="26"/>
          <w:szCs w:val="26"/>
        </w:rPr>
        <w:t>государственная</w:t>
      </w:r>
      <w:proofErr w:type="gramEnd"/>
      <w:r w:rsidRPr="00D50C42">
        <w:rPr>
          <w:rFonts w:ascii="Times New Roman" w:hAnsi="Times New Roman" w:cs="Times New Roman"/>
          <w:sz w:val="26"/>
          <w:szCs w:val="26"/>
        </w:rPr>
        <w:t xml:space="preserve"> </w:t>
      </w:r>
      <w:r w:rsidRPr="00D50C42">
        <w:rPr>
          <w:rFonts w:ascii="Times New Roman" w:hAnsi="Times New Roman" w:cs="Times New Roman"/>
          <w:sz w:val="26"/>
          <w:szCs w:val="26"/>
          <w:lang w:val="en-US"/>
        </w:rPr>
        <w:t>Statoil</w:t>
      </w:r>
      <w:r w:rsidRPr="00D50C42">
        <w:rPr>
          <w:rFonts w:ascii="Times New Roman" w:hAnsi="Times New Roman" w:cs="Times New Roman"/>
          <w:sz w:val="26"/>
          <w:szCs w:val="26"/>
        </w:rPr>
        <w:t>. Государство также выступает в качестве владельца долей в лицензиях на добычу нефти и газа через институт так называемого государственного прямого финансового участия, хотя эта форма применяется все реже.</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Нефтедобыча в Норвегии, достигнув пика в 2001 году, неуклонно снижается, что связано с выработкой действующих месторождений. Обеспеченность запасами составляет не более 9 лет. Система налогообложения не в состоянии изменить эти </w:t>
      </w:r>
      <w:r w:rsidRPr="00D50C42">
        <w:rPr>
          <w:rFonts w:ascii="Times New Roman" w:hAnsi="Times New Roman" w:cs="Times New Roman"/>
          <w:sz w:val="26"/>
          <w:szCs w:val="26"/>
        </w:rPr>
        <w:lastRenderedPageBreak/>
        <w:t xml:space="preserve">тенденции и ориентирована в большей мере на смягчение последствий коллапса в нефтяном секторе (в газовом секторе ситуация заметно лучше - обеспеченность запасами составляет порядка 20 лет, а пик добычи, возможно, еще не пройден). </w:t>
      </w:r>
    </w:p>
    <w:p w:rsidR="00A44E5D" w:rsidRDefault="00A44E5D" w:rsidP="00A24C32">
      <w:pPr>
        <w:spacing w:after="120" w:line="240" w:lineRule="auto"/>
        <w:ind w:firstLine="709"/>
        <w:jc w:val="both"/>
        <w:rPr>
          <w:rFonts w:ascii="Times New Roman" w:hAnsi="Times New Roman" w:cs="Times New Roman"/>
          <w:sz w:val="24"/>
          <w:szCs w:val="24"/>
        </w:rPr>
      </w:pPr>
    </w:p>
    <w:p w:rsidR="00A44E5D" w:rsidRPr="001E186E" w:rsidRDefault="00A44E5D" w:rsidP="00A44E5D">
      <w:pPr>
        <w:spacing w:after="120"/>
        <w:ind w:firstLine="709"/>
        <w:jc w:val="both"/>
        <w:rPr>
          <w:rFonts w:ascii="Times New Roman" w:hAnsi="Times New Roman" w:cs="Times New Roman"/>
          <w:b/>
          <w:i/>
          <w:sz w:val="20"/>
          <w:szCs w:val="24"/>
        </w:rPr>
      </w:pPr>
      <w:r w:rsidRPr="001E186E">
        <w:rPr>
          <w:rFonts w:ascii="Times New Roman" w:hAnsi="Times New Roman" w:cs="Times New Roman"/>
          <w:b/>
          <w:i/>
          <w:sz w:val="20"/>
          <w:szCs w:val="24"/>
        </w:rPr>
        <w:t>Динамика нефтедобывающего сектора Великобритании</w:t>
      </w:r>
    </w:p>
    <w:p w:rsidR="00A44E5D" w:rsidRDefault="00A44E5D" w:rsidP="00A44E5D">
      <w:pPr>
        <w:spacing w:after="120"/>
        <w:jc w:val="both"/>
        <w:rPr>
          <w:rFonts w:ascii="Times New Roman" w:hAnsi="Times New Roman" w:cs="Times New Roman"/>
          <w:sz w:val="24"/>
          <w:szCs w:val="24"/>
        </w:rPr>
      </w:pPr>
      <w:r w:rsidRPr="00506680">
        <w:rPr>
          <w:rFonts w:ascii="Times New Roman" w:hAnsi="Times New Roman" w:cs="Times New Roman"/>
          <w:noProof/>
          <w:sz w:val="24"/>
          <w:szCs w:val="24"/>
          <w:lang w:eastAsia="ru-RU"/>
        </w:rPr>
        <w:drawing>
          <wp:inline distT="0" distB="0" distL="0" distR="0" wp14:anchorId="2E49C5D3" wp14:editId="5F36FFAD">
            <wp:extent cx="5940425" cy="2086414"/>
            <wp:effectExtent l="0" t="0" r="3175" b="0"/>
            <wp:docPr id="10"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44E5D" w:rsidRPr="001E186E" w:rsidRDefault="00A44E5D" w:rsidP="00A44E5D">
      <w:pPr>
        <w:spacing w:after="120"/>
        <w:ind w:firstLine="709"/>
        <w:jc w:val="both"/>
        <w:rPr>
          <w:rFonts w:ascii="Times New Roman" w:hAnsi="Times New Roman" w:cs="Times New Roman"/>
          <w:i/>
          <w:sz w:val="20"/>
          <w:szCs w:val="24"/>
          <w:lang w:val="en-US"/>
        </w:rPr>
      </w:pPr>
      <w:r w:rsidRPr="001E186E">
        <w:rPr>
          <w:rFonts w:ascii="Times New Roman" w:hAnsi="Times New Roman" w:cs="Times New Roman"/>
          <w:i/>
          <w:sz w:val="20"/>
          <w:szCs w:val="24"/>
        </w:rPr>
        <w:t>Источник</w:t>
      </w:r>
      <w:r w:rsidRPr="001E186E">
        <w:rPr>
          <w:rFonts w:ascii="Times New Roman" w:hAnsi="Times New Roman" w:cs="Times New Roman"/>
          <w:i/>
          <w:sz w:val="20"/>
          <w:szCs w:val="24"/>
          <w:lang w:val="en-US"/>
        </w:rPr>
        <w:t>: BP Statistical Review of World Energy June 2015</w:t>
      </w:r>
    </w:p>
    <w:p w:rsidR="00A44E5D" w:rsidRPr="00D50C42" w:rsidRDefault="00A44E5D" w:rsidP="00A24C32">
      <w:pPr>
        <w:spacing w:after="120" w:line="240" w:lineRule="auto"/>
        <w:ind w:firstLine="709"/>
        <w:jc w:val="both"/>
        <w:rPr>
          <w:rFonts w:ascii="Times New Roman" w:hAnsi="Times New Roman" w:cs="Times New Roman"/>
          <w:i/>
          <w:sz w:val="26"/>
          <w:szCs w:val="26"/>
          <w:lang w:val="en-US"/>
        </w:rPr>
      </w:pP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Налогообложение доходов резидентов Великобритании по всемирному принципу с зачетом, уплаченных за рубежом налогов в соответствии с соглашениями об </w:t>
      </w:r>
      <w:proofErr w:type="spellStart"/>
      <w:r w:rsidRPr="00D50C42">
        <w:rPr>
          <w:rFonts w:ascii="Times New Roman" w:hAnsi="Times New Roman" w:cs="Times New Roman"/>
          <w:sz w:val="26"/>
          <w:szCs w:val="26"/>
        </w:rPr>
        <w:t>избежании</w:t>
      </w:r>
      <w:proofErr w:type="spellEnd"/>
      <w:r w:rsidRPr="00D50C42">
        <w:rPr>
          <w:rFonts w:ascii="Times New Roman" w:hAnsi="Times New Roman" w:cs="Times New Roman"/>
          <w:sz w:val="26"/>
          <w:szCs w:val="26"/>
        </w:rPr>
        <w:t xml:space="preserve"> двойного налогообложения. Доходы нефтегазового сектора облагаются по повышенной ставке налога на доходы корпораций - 30%, для прочих отраслей ставка равна 21%. Используется особый контроль соблюдения принципа рыночного ценообразования.</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Допускается 100%-е списание расходов капитального характера для компаний, доходы которых облагаются по повышенным ставкам, включая инвестиции в машины и оборудование, расходы на разведку, добычу и аренду оборудования. Возможности отнесения на расходы 100% расходов на разработки и исследования до того, как месторождение будет квалифицировано как коммерческое. Гибкий режим переноса убытков на будущие периоды – до 10% в год, но не более чем на 6 непоследовательных лет. Сложная система дифференциации убытков: их классификация в зависимости от типа – торговые, капитальные, финансовые, и соответствующие механизмы списания. </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Налог на нефтяные доходы применяется к месторождению, а не юридическому лицу. Расчет налогооблагаемой базы происходит в соответствии с нормативными актами, учитывая целый ряд вычетов и освобождений (например, </w:t>
      </w:r>
      <w:proofErr w:type="spellStart"/>
      <w:r w:rsidRPr="00D50C42">
        <w:rPr>
          <w:rFonts w:ascii="Times New Roman" w:hAnsi="Times New Roman" w:cs="Times New Roman"/>
          <w:sz w:val="26"/>
          <w:szCs w:val="26"/>
        </w:rPr>
        <w:t>аплифт</w:t>
      </w:r>
      <w:proofErr w:type="spellEnd"/>
      <w:r w:rsidRPr="00D50C42">
        <w:rPr>
          <w:rFonts w:ascii="Times New Roman" w:hAnsi="Times New Roman" w:cs="Times New Roman"/>
          <w:sz w:val="26"/>
          <w:szCs w:val="26"/>
        </w:rPr>
        <w:t xml:space="preserve"> 35%). Ставка налога составляет 50%. Уплаченные суммы принимаются к зачету при уплате налога на доходы корпораций и дополнительного налога. </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Дополнительный налог составляет 30%. База налога определяется как и для налога на доходы корпораций с учетом огораживания деятельности на континентальном шельфе (не включая затраты на финансирование).</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Стандартная ставка налога на добавленную стоимость – 20%. По отдельным видам продукции существуют ставки 5% и 0%. </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lastRenderedPageBreak/>
        <w:t xml:space="preserve">Ставка налогов на дивиденды, проценты, роялти и аналогичные платежи устанавливается в размере 20%. Однако конкретные размеры определяются положениями договоров об </w:t>
      </w:r>
      <w:proofErr w:type="spellStart"/>
      <w:r w:rsidRPr="00D50C42">
        <w:rPr>
          <w:rFonts w:ascii="Times New Roman" w:hAnsi="Times New Roman" w:cs="Times New Roman"/>
          <w:sz w:val="26"/>
          <w:szCs w:val="26"/>
        </w:rPr>
        <w:t>избежании</w:t>
      </w:r>
      <w:proofErr w:type="spellEnd"/>
      <w:r w:rsidRPr="00D50C42">
        <w:rPr>
          <w:rFonts w:ascii="Times New Roman" w:hAnsi="Times New Roman" w:cs="Times New Roman"/>
          <w:sz w:val="26"/>
          <w:szCs w:val="26"/>
        </w:rPr>
        <w:t xml:space="preserve"> двойного налогообложения.</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Существующая система налогообложения уже не в состоянии поддержать падание уровня запасов и добычи, и даже отчасти усугубляет негативные тенденции, несмотря на значительный объем льгот. Начиная с середины 2000-х годов, Великобритания потребляет в 1,5 раза больше, чем добывает.  Но даже при сокращении уровня добычи запасов хватит не более</w:t>
      </w:r>
      <w:proofErr w:type="gramStart"/>
      <w:r w:rsidRPr="00D50C42">
        <w:rPr>
          <w:rFonts w:ascii="Times New Roman" w:hAnsi="Times New Roman" w:cs="Times New Roman"/>
          <w:sz w:val="26"/>
          <w:szCs w:val="26"/>
        </w:rPr>
        <w:t>,</w:t>
      </w:r>
      <w:proofErr w:type="gramEnd"/>
      <w:r w:rsidRPr="00D50C42">
        <w:rPr>
          <w:rFonts w:ascii="Times New Roman" w:hAnsi="Times New Roman" w:cs="Times New Roman"/>
          <w:sz w:val="26"/>
          <w:szCs w:val="26"/>
        </w:rPr>
        <w:t xml:space="preserve"> чем на 10 лет. При этом фискальные задачи также решаются не в полной мере – по сравнению с 80-ми годами, когда был введен налог на нефтяные доходы поступления от него сократились более</w:t>
      </w:r>
      <w:proofErr w:type="gramStart"/>
      <w:r w:rsidRPr="00D50C42">
        <w:rPr>
          <w:rFonts w:ascii="Times New Roman" w:hAnsi="Times New Roman" w:cs="Times New Roman"/>
          <w:sz w:val="26"/>
          <w:szCs w:val="26"/>
        </w:rPr>
        <w:t>,</w:t>
      </w:r>
      <w:proofErr w:type="gramEnd"/>
      <w:r w:rsidRPr="00D50C42">
        <w:rPr>
          <w:rFonts w:ascii="Times New Roman" w:hAnsi="Times New Roman" w:cs="Times New Roman"/>
          <w:sz w:val="26"/>
          <w:szCs w:val="26"/>
        </w:rPr>
        <w:t xml:space="preserve"> чем в 7 раз. </w:t>
      </w:r>
    </w:p>
    <w:p w:rsidR="00A44E5D" w:rsidRDefault="00A44E5D" w:rsidP="00A24C32">
      <w:pPr>
        <w:spacing w:after="120"/>
        <w:jc w:val="both"/>
        <w:rPr>
          <w:rFonts w:ascii="Times New Roman" w:hAnsi="Times New Roman" w:cs="Times New Roman"/>
          <w:sz w:val="24"/>
          <w:szCs w:val="24"/>
        </w:rPr>
      </w:pPr>
    </w:p>
    <w:p w:rsidR="00A44E5D" w:rsidRPr="001E186E" w:rsidRDefault="00A44E5D" w:rsidP="00A44E5D">
      <w:pPr>
        <w:spacing w:after="120"/>
        <w:ind w:firstLine="709"/>
        <w:jc w:val="both"/>
        <w:rPr>
          <w:rFonts w:ascii="Times New Roman" w:hAnsi="Times New Roman" w:cs="Times New Roman"/>
          <w:b/>
          <w:i/>
          <w:sz w:val="20"/>
          <w:szCs w:val="24"/>
        </w:rPr>
      </w:pPr>
      <w:r w:rsidRPr="001E186E">
        <w:rPr>
          <w:rFonts w:ascii="Times New Roman" w:hAnsi="Times New Roman" w:cs="Times New Roman"/>
          <w:b/>
          <w:i/>
          <w:sz w:val="20"/>
          <w:szCs w:val="24"/>
        </w:rPr>
        <w:t>Динамика нефтедобывающего сектора Саудовской Аравии</w:t>
      </w:r>
    </w:p>
    <w:p w:rsidR="00A44E5D" w:rsidRDefault="00A44E5D" w:rsidP="00A44E5D">
      <w:pPr>
        <w:spacing w:after="120"/>
        <w:jc w:val="both"/>
        <w:rPr>
          <w:rFonts w:ascii="Times New Roman" w:hAnsi="Times New Roman" w:cs="Times New Roman"/>
          <w:sz w:val="24"/>
          <w:szCs w:val="24"/>
        </w:rPr>
      </w:pPr>
      <w:r w:rsidRPr="00506680">
        <w:rPr>
          <w:rFonts w:ascii="Times New Roman" w:hAnsi="Times New Roman" w:cs="Times New Roman"/>
          <w:noProof/>
          <w:sz w:val="24"/>
          <w:szCs w:val="24"/>
          <w:lang w:eastAsia="ru-RU"/>
        </w:rPr>
        <w:drawing>
          <wp:inline distT="0" distB="0" distL="0" distR="0" wp14:anchorId="5BFB6963" wp14:editId="5706D720">
            <wp:extent cx="5940425" cy="2086414"/>
            <wp:effectExtent l="0" t="0" r="3175" b="0"/>
            <wp:docPr id="22"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44E5D" w:rsidRPr="00BB3EF1" w:rsidRDefault="00A44E5D" w:rsidP="00A44E5D">
      <w:pPr>
        <w:spacing w:after="120"/>
        <w:ind w:firstLine="709"/>
        <w:jc w:val="both"/>
        <w:rPr>
          <w:rFonts w:ascii="Times New Roman" w:hAnsi="Times New Roman" w:cs="Times New Roman"/>
          <w:i/>
          <w:sz w:val="20"/>
          <w:szCs w:val="24"/>
          <w:lang w:val="en-US"/>
        </w:rPr>
      </w:pPr>
      <w:r w:rsidRPr="00BB3EF1">
        <w:rPr>
          <w:rFonts w:ascii="Times New Roman" w:hAnsi="Times New Roman" w:cs="Times New Roman"/>
          <w:i/>
          <w:sz w:val="20"/>
          <w:szCs w:val="24"/>
        </w:rPr>
        <w:t>Источник</w:t>
      </w:r>
      <w:r w:rsidRPr="00BB3EF1">
        <w:rPr>
          <w:rFonts w:ascii="Times New Roman" w:hAnsi="Times New Roman" w:cs="Times New Roman"/>
          <w:i/>
          <w:sz w:val="20"/>
          <w:szCs w:val="24"/>
          <w:lang w:val="en-US"/>
        </w:rPr>
        <w:t>: BP Statistical Review of World Energy June 2015</w:t>
      </w:r>
    </w:p>
    <w:p w:rsidR="00A44E5D" w:rsidRPr="00E44761" w:rsidRDefault="00A44E5D" w:rsidP="00A24C32">
      <w:pPr>
        <w:spacing w:after="120" w:line="240" w:lineRule="auto"/>
        <w:ind w:firstLine="709"/>
        <w:jc w:val="both"/>
        <w:rPr>
          <w:rFonts w:ascii="Times New Roman" w:hAnsi="Times New Roman" w:cs="Times New Roman"/>
          <w:sz w:val="24"/>
          <w:szCs w:val="24"/>
          <w:lang w:val="en-US"/>
        </w:rPr>
      </w:pP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Фискальный режим, применяемый в Саудовской Аравии, включает роялти, налог на доходы корпораций, а также специальный режим амортизационных отчислений для определенных видов активов. </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Налог на доходы корпораций для производства нефти составляет 85% при общем режиме 20%. Существует понятие инвестиционного налога на природный газ. Ставки (30-85%) определяется на основе внутренней нормы доходности на ежегодные потоки денежных средств, и включают в себя налог на доходы корпораций (30%). Ставки роялти определяются в каждом конкретном проекте. Подлежат зачету при расчете налогооблагаемой базы при расчете налога на доходы корпораций. </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Существуют амортизационные группы разных видов активов. Расходы на разведку, бурение, подготовительные работы подлежат амортизации по ставке 20% в год. </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Дифференцированный подход при исчислении налогов, удерживаемых у источника (5-20%). НДС не используется.</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Саудовская Аравия исторически являлась мировым лидером по запасам нефти (почти 270 млрд. </w:t>
      </w:r>
      <w:proofErr w:type="spellStart"/>
      <w:r w:rsidRPr="00D50C42">
        <w:rPr>
          <w:rFonts w:ascii="Times New Roman" w:hAnsi="Times New Roman" w:cs="Times New Roman"/>
          <w:sz w:val="26"/>
          <w:szCs w:val="26"/>
        </w:rPr>
        <w:t>барр</w:t>
      </w:r>
      <w:proofErr w:type="spellEnd"/>
      <w:r w:rsidRPr="00D50C42">
        <w:rPr>
          <w:rFonts w:ascii="Times New Roman" w:hAnsi="Times New Roman" w:cs="Times New Roman"/>
          <w:sz w:val="26"/>
          <w:szCs w:val="26"/>
        </w:rPr>
        <w:t xml:space="preserve">.), лишь в 2010 г. уступив эту роль Венесуэле. Обеспеченность запасами превышает 64 года, что, несмотря на постепенный рост добычи, позволяет </w:t>
      </w:r>
      <w:r w:rsidRPr="00D50C42">
        <w:rPr>
          <w:rFonts w:ascii="Times New Roman" w:hAnsi="Times New Roman" w:cs="Times New Roman"/>
          <w:sz w:val="26"/>
          <w:szCs w:val="26"/>
        </w:rPr>
        <w:lastRenderedPageBreak/>
        <w:t xml:space="preserve">не интенсифицировать дополнительную разведку запасов. Практически всю добычу (96,8%) контролирует </w:t>
      </w:r>
      <w:proofErr w:type="gramStart"/>
      <w:r w:rsidRPr="00D50C42">
        <w:rPr>
          <w:rFonts w:ascii="Times New Roman" w:hAnsi="Times New Roman" w:cs="Times New Roman"/>
          <w:sz w:val="26"/>
          <w:szCs w:val="26"/>
        </w:rPr>
        <w:t>государственная</w:t>
      </w:r>
      <w:proofErr w:type="gramEnd"/>
      <w:r w:rsidRPr="00D50C42">
        <w:rPr>
          <w:rFonts w:ascii="Times New Roman" w:hAnsi="Times New Roman" w:cs="Times New Roman"/>
          <w:sz w:val="26"/>
          <w:szCs w:val="26"/>
        </w:rPr>
        <w:t xml:space="preserve"> </w:t>
      </w:r>
      <w:proofErr w:type="spellStart"/>
      <w:r w:rsidRPr="00D50C42">
        <w:rPr>
          <w:rFonts w:ascii="Times New Roman" w:hAnsi="Times New Roman" w:cs="Times New Roman"/>
          <w:sz w:val="26"/>
          <w:szCs w:val="26"/>
        </w:rPr>
        <w:t>Saudi</w:t>
      </w:r>
      <w:proofErr w:type="spellEnd"/>
      <w:r w:rsidRPr="00D50C42">
        <w:rPr>
          <w:rFonts w:ascii="Times New Roman" w:hAnsi="Times New Roman" w:cs="Times New Roman"/>
          <w:sz w:val="26"/>
          <w:szCs w:val="26"/>
        </w:rPr>
        <w:t xml:space="preserve"> </w:t>
      </w:r>
      <w:proofErr w:type="spellStart"/>
      <w:r w:rsidRPr="00D50C42">
        <w:rPr>
          <w:rFonts w:ascii="Times New Roman" w:hAnsi="Times New Roman" w:cs="Times New Roman"/>
          <w:sz w:val="26"/>
          <w:szCs w:val="26"/>
        </w:rPr>
        <w:t>Aramco</w:t>
      </w:r>
      <w:proofErr w:type="spellEnd"/>
      <w:r w:rsidRPr="00D50C42">
        <w:rPr>
          <w:rFonts w:ascii="Times New Roman" w:hAnsi="Times New Roman" w:cs="Times New Roman"/>
          <w:sz w:val="26"/>
          <w:szCs w:val="26"/>
        </w:rPr>
        <w:t>.</w:t>
      </w:r>
    </w:p>
    <w:p w:rsidR="00A24C32" w:rsidRPr="00922DFA" w:rsidRDefault="00A24C32" w:rsidP="00922DFA">
      <w:pPr>
        <w:spacing w:after="120" w:line="240" w:lineRule="auto"/>
        <w:jc w:val="both"/>
        <w:rPr>
          <w:rFonts w:ascii="Times New Roman" w:hAnsi="Times New Roman" w:cs="Times New Roman"/>
          <w:sz w:val="24"/>
          <w:szCs w:val="24"/>
        </w:rPr>
      </w:pPr>
    </w:p>
    <w:p w:rsidR="00A44E5D" w:rsidRPr="00BB3EF1" w:rsidRDefault="00A44E5D" w:rsidP="00A44E5D">
      <w:pPr>
        <w:spacing w:after="120"/>
        <w:ind w:firstLine="709"/>
        <w:jc w:val="both"/>
        <w:rPr>
          <w:rFonts w:ascii="Times New Roman" w:hAnsi="Times New Roman" w:cs="Times New Roman"/>
          <w:b/>
          <w:i/>
          <w:sz w:val="20"/>
          <w:szCs w:val="24"/>
        </w:rPr>
      </w:pPr>
      <w:r w:rsidRPr="00BB3EF1">
        <w:rPr>
          <w:rFonts w:ascii="Times New Roman" w:hAnsi="Times New Roman" w:cs="Times New Roman"/>
          <w:b/>
          <w:i/>
          <w:sz w:val="20"/>
          <w:szCs w:val="24"/>
        </w:rPr>
        <w:t>Динамика нефтедобывающего сектор</w:t>
      </w:r>
      <w:proofErr w:type="gramStart"/>
      <w:r w:rsidRPr="00BB3EF1">
        <w:rPr>
          <w:rFonts w:ascii="Times New Roman" w:hAnsi="Times New Roman" w:cs="Times New Roman"/>
          <w:b/>
          <w:i/>
          <w:sz w:val="20"/>
          <w:szCs w:val="24"/>
        </w:rPr>
        <w:t>а ОАЭ</w:t>
      </w:r>
      <w:proofErr w:type="gramEnd"/>
    </w:p>
    <w:p w:rsidR="00A44E5D" w:rsidRDefault="00A44E5D" w:rsidP="00A44E5D">
      <w:pPr>
        <w:spacing w:after="120"/>
        <w:jc w:val="both"/>
        <w:rPr>
          <w:rFonts w:ascii="Times New Roman" w:hAnsi="Times New Roman" w:cs="Times New Roman"/>
          <w:sz w:val="24"/>
          <w:szCs w:val="24"/>
        </w:rPr>
      </w:pPr>
      <w:r w:rsidRPr="00635275">
        <w:rPr>
          <w:rFonts w:ascii="Times New Roman" w:hAnsi="Times New Roman" w:cs="Times New Roman"/>
          <w:noProof/>
          <w:sz w:val="24"/>
          <w:szCs w:val="24"/>
          <w:lang w:eastAsia="ru-RU"/>
        </w:rPr>
        <w:drawing>
          <wp:inline distT="0" distB="0" distL="0" distR="0" wp14:anchorId="3C77D080" wp14:editId="5B868B3A">
            <wp:extent cx="5940425" cy="2086414"/>
            <wp:effectExtent l="0" t="0" r="3175" b="0"/>
            <wp:docPr id="23"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4E5D" w:rsidRPr="00BB3EF1" w:rsidRDefault="00A44E5D" w:rsidP="00A44E5D">
      <w:pPr>
        <w:spacing w:after="120"/>
        <w:ind w:firstLine="709"/>
        <w:jc w:val="both"/>
        <w:rPr>
          <w:rFonts w:ascii="Times New Roman" w:hAnsi="Times New Roman" w:cs="Times New Roman"/>
          <w:i/>
          <w:sz w:val="20"/>
          <w:szCs w:val="24"/>
          <w:lang w:val="en-US"/>
        </w:rPr>
      </w:pPr>
      <w:r w:rsidRPr="00BB3EF1">
        <w:rPr>
          <w:rFonts w:ascii="Times New Roman" w:hAnsi="Times New Roman" w:cs="Times New Roman"/>
          <w:i/>
          <w:sz w:val="20"/>
          <w:szCs w:val="24"/>
        </w:rPr>
        <w:t>Источник</w:t>
      </w:r>
      <w:r w:rsidRPr="00BB3EF1">
        <w:rPr>
          <w:rFonts w:ascii="Times New Roman" w:hAnsi="Times New Roman" w:cs="Times New Roman"/>
          <w:i/>
          <w:sz w:val="20"/>
          <w:szCs w:val="24"/>
          <w:lang w:val="en-US"/>
        </w:rPr>
        <w:t>: BP Statistical Review of World Energy June 2015</w:t>
      </w:r>
    </w:p>
    <w:p w:rsidR="00A44E5D" w:rsidRPr="00D50C42" w:rsidRDefault="00A44E5D" w:rsidP="00A44E5D">
      <w:pPr>
        <w:spacing w:after="120"/>
        <w:ind w:firstLine="709"/>
        <w:jc w:val="both"/>
        <w:rPr>
          <w:rFonts w:ascii="Times New Roman" w:hAnsi="Times New Roman" w:cs="Times New Roman"/>
          <w:sz w:val="26"/>
          <w:szCs w:val="26"/>
          <w:lang w:val="en-US"/>
        </w:rPr>
      </w:pP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В Объединенных Арабских Эмиратах наименее прозрачная система налогообложения нефтяного сектора, при этом единое федеральное налогообложение отсутствует, а каждый эмират устанавливает свои правила. </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Применяются роялти и налог на доходы корпораций. </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В некоторых эмиратах созданы свободные экономические зоны, в которых размещаются компании нефтегазового сектора (непроизводственная деятельность). Как правило, это подразумевает нулевые ставки налогов, отсутствие пошлин, возможность 100% иностранного участия. </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Компании, участвующие в концессиях, платят роялти. Соглашения о концессиях могут закреплять освобождение от пошлин.</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Установлены сборы для производителей нефти и газа, размеры которых не раскрываются.</w:t>
      </w:r>
    </w:p>
    <w:p w:rsidR="00A44E5D"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ОАЭ входит в десятку лидеров по запасам нефти (почти 100 млрд. </w:t>
      </w:r>
      <w:proofErr w:type="spellStart"/>
      <w:r w:rsidRPr="00D50C42">
        <w:rPr>
          <w:rFonts w:ascii="Times New Roman" w:hAnsi="Times New Roman" w:cs="Times New Roman"/>
          <w:sz w:val="26"/>
          <w:szCs w:val="26"/>
        </w:rPr>
        <w:t>барр</w:t>
      </w:r>
      <w:proofErr w:type="spellEnd"/>
      <w:r w:rsidRPr="00D50C42">
        <w:rPr>
          <w:rFonts w:ascii="Times New Roman" w:hAnsi="Times New Roman" w:cs="Times New Roman"/>
          <w:sz w:val="26"/>
          <w:szCs w:val="26"/>
        </w:rPr>
        <w:t xml:space="preserve">.). Обеспеченность запасами превышает 72 года, что, несмотря на быстрый рост добычи, позволяет не интенсифицировать дополнительную разведку запасов. Более 90% добычи нефти обеспечивают три совместных предприятия с участием </w:t>
      </w:r>
      <w:r w:rsidR="00A24C32">
        <w:rPr>
          <w:rFonts w:ascii="Times New Roman" w:hAnsi="Times New Roman" w:cs="Times New Roman"/>
          <w:sz w:val="26"/>
          <w:szCs w:val="26"/>
        </w:rPr>
        <w:t>государственной компании ADNOC.</w:t>
      </w:r>
    </w:p>
    <w:p w:rsidR="000F4260" w:rsidRPr="000F4260" w:rsidRDefault="000F4260" w:rsidP="000F4260">
      <w:pPr>
        <w:spacing w:after="120" w:line="240" w:lineRule="auto"/>
        <w:ind w:firstLine="709"/>
        <w:jc w:val="both"/>
        <w:rPr>
          <w:rFonts w:ascii="Times New Roman" w:hAnsi="Times New Roman" w:cs="Times New Roman"/>
          <w:sz w:val="26"/>
          <w:szCs w:val="26"/>
        </w:rPr>
      </w:pPr>
      <w:r w:rsidRPr="000F4260">
        <w:rPr>
          <w:rFonts w:ascii="Times New Roman" w:hAnsi="Times New Roman" w:cs="Times New Roman"/>
          <w:sz w:val="26"/>
          <w:szCs w:val="26"/>
        </w:rPr>
        <w:t xml:space="preserve">Система налогообложения нефтяного сектора в Бразилии комбинирует бонусы, роялти, налог на доходы корпораций и соглашения о разделе продукции. </w:t>
      </w:r>
    </w:p>
    <w:p w:rsidR="000F4260" w:rsidRPr="00922DFA" w:rsidRDefault="000F4260" w:rsidP="000F4260">
      <w:pPr>
        <w:spacing w:after="120" w:line="240" w:lineRule="auto"/>
        <w:ind w:firstLine="709"/>
        <w:jc w:val="both"/>
        <w:rPr>
          <w:rFonts w:ascii="Times New Roman" w:hAnsi="Times New Roman" w:cs="Times New Roman"/>
          <w:sz w:val="26"/>
          <w:szCs w:val="26"/>
        </w:rPr>
      </w:pPr>
      <w:r w:rsidRPr="000F4260">
        <w:rPr>
          <w:rFonts w:ascii="Times New Roman" w:hAnsi="Times New Roman" w:cs="Times New Roman"/>
          <w:sz w:val="26"/>
          <w:szCs w:val="26"/>
        </w:rPr>
        <w:t>В рамках соглашений о разделе продукции инвестором уплачивается бонус (разово по установленной ставке), роялти в размере 15% от объемов производства, а также отдельно выплаты на возмещение издержек собственнику участка (только на суше) 0,5-1% актуальной стоимости добываемых ресурсов.</w:t>
      </w:r>
    </w:p>
    <w:p w:rsidR="00922DFA" w:rsidRPr="00922DFA" w:rsidRDefault="00922DFA" w:rsidP="000F4260">
      <w:pPr>
        <w:spacing w:after="120" w:line="240" w:lineRule="auto"/>
        <w:ind w:firstLine="709"/>
        <w:jc w:val="both"/>
        <w:rPr>
          <w:rFonts w:ascii="Times New Roman" w:hAnsi="Times New Roman" w:cs="Times New Roman"/>
          <w:sz w:val="26"/>
          <w:szCs w:val="26"/>
        </w:rPr>
      </w:pPr>
    </w:p>
    <w:p w:rsidR="00922DFA" w:rsidRPr="00922DFA" w:rsidRDefault="00922DFA" w:rsidP="000F4260">
      <w:pPr>
        <w:spacing w:after="120" w:line="240" w:lineRule="auto"/>
        <w:ind w:firstLine="709"/>
        <w:jc w:val="both"/>
        <w:rPr>
          <w:rFonts w:ascii="Times New Roman" w:hAnsi="Times New Roman" w:cs="Times New Roman"/>
          <w:sz w:val="26"/>
          <w:szCs w:val="26"/>
        </w:rPr>
      </w:pPr>
    </w:p>
    <w:p w:rsidR="00A44E5D" w:rsidRPr="001E186E" w:rsidRDefault="00A44E5D" w:rsidP="00A44E5D">
      <w:pPr>
        <w:spacing w:after="120"/>
        <w:ind w:firstLine="709"/>
        <w:jc w:val="both"/>
        <w:rPr>
          <w:rFonts w:ascii="Times New Roman" w:hAnsi="Times New Roman" w:cs="Times New Roman"/>
          <w:b/>
          <w:i/>
          <w:sz w:val="20"/>
          <w:szCs w:val="24"/>
        </w:rPr>
      </w:pPr>
      <w:r w:rsidRPr="001E186E">
        <w:rPr>
          <w:rFonts w:ascii="Times New Roman" w:hAnsi="Times New Roman" w:cs="Times New Roman"/>
          <w:b/>
          <w:i/>
          <w:sz w:val="20"/>
          <w:szCs w:val="24"/>
        </w:rPr>
        <w:lastRenderedPageBreak/>
        <w:t>Динамика нефтедобывающего сектора Бразилии</w:t>
      </w:r>
    </w:p>
    <w:p w:rsidR="00A44E5D" w:rsidRDefault="00A44E5D" w:rsidP="00A44E5D">
      <w:pPr>
        <w:spacing w:after="120"/>
        <w:rPr>
          <w:rFonts w:ascii="Times New Roman" w:hAnsi="Times New Roman" w:cs="Times New Roman"/>
          <w:sz w:val="24"/>
          <w:szCs w:val="24"/>
        </w:rPr>
      </w:pPr>
      <w:r w:rsidRPr="00A52791">
        <w:rPr>
          <w:rFonts w:ascii="Times New Roman" w:hAnsi="Times New Roman" w:cs="Times New Roman"/>
          <w:noProof/>
          <w:sz w:val="24"/>
          <w:szCs w:val="24"/>
          <w:lang w:eastAsia="ru-RU"/>
        </w:rPr>
        <w:drawing>
          <wp:inline distT="0" distB="0" distL="0" distR="0" wp14:anchorId="539809E9" wp14:editId="0AC10152">
            <wp:extent cx="5940425" cy="2086414"/>
            <wp:effectExtent l="0" t="0" r="3175" b="0"/>
            <wp:docPr id="1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44E5D" w:rsidRPr="00A24C32" w:rsidRDefault="00A44E5D" w:rsidP="00A24C32">
      <w:pPr>
        <w:spacing w:after="120"/>
        <w:ind w:firstLine="709"/>
        <w:jc w:val="both"/>
        <w:rPr>
          <w:rFonts w:ascii="Times New Roman" w:hAnsi="Times New Roman" w:cs="Times New Roman"/>
          <w:i/>
          <w:sz w:val="20"/>
          <w:szCs w:val="24"/>
          <w:lang w:val="en-US"/>
        </w:rPr>
      </w:pPr>
      <w:r w:rsidRPr="001E186E">
        <w:rPr>
          <w:rFonts w:ascii="Times New Roman" w:hAnsi="Times New Roman" w:cs="Times New Roman"/>
          <w:i/>
          <w:sz w:val="20"/>
          <w:szCs w:val="24"/>
        </w:rPr>
        <w:t>Источник</w:t>
      </w:r>
      <w:r w:rsidRPr="001E186E">
        <w:rPr>
          <w:rFonts w:ascii="Times New Roman" w:hAnsi="Times New Roman" w:cs="Times New Roman"/>
          <w:i/>
          <w:sz w:val="20"/>
          <w:szCs w:val="24"/>
          <w:lang w:val="en-US"/>
        </w:rPr>
        <w:t>: BP Statistical Review of World Energy June 2015</w:t>
      </w:r>
    </w:p>
    <w:p w:rsidR="00A44E5D" w:rsidRPr="00D50C42" w:rsidRDefault="00A44E5D" w:rsidP="00A24C32">
      <w:pPr>
        <w:spacing w:after="120" w:line="240" w:lineRule="auto"/>
        <w:ind w:firstLine="709"/>
        <w:jc w:val="both"/>
        <w:rPr>
          <w:rFonts w:ascii="Times New Roman" w:hAnsi="Times New Roman" w:cs="Times New Roman"/>
          <w:sz w:val="26"/>
          <w:szCs w:val="26"/>
        </w:rPr>
      </w:pPr>
      <w:proofErr w:type="gramStart"/>
      <w:r w:rsidRPr="00D50C42">
        <w:rPr>
          <w:rFonts w:ascii="Times New Roman" w:hAnsi="Times New Roman" w:cs="Times New Roman"/>
          <w:sz w:val="26"/>
          <w:szCs w:val="26"/>
        </w:rPr>
        <w:t>В рамках концессионных соглашений инвестором уплачивается бонус, роялти в размере 5-10% от актуальной цены на нефть, особая доля в размере 10-40% для больших объемов производства (рассчитывается по прогрессивной системе на основании показателей выручки, скорректированной на роялти, инвестиции в разведку, эксплуатационные расходы, амортизацию и налоги), плата за пользование участком (рассчитывается по прогрессивной системе в зависимости от состояния разработки месторождения из расчета</w:t>
      </w:r>
      <w:proofErr w:type="gramEnd"/>
      <w:r w:rsidRPr="00D50C42">
        <w:rPr>
          <w:rFonts w:ascii="Times New Roman" w:hAnsi="Times New Roman" w:cs="Times New Roman"/>
          <w:sz w:val="26"/>
          <w:szCs w:val="26"/>
        </w:rPr>
        <w:t xml:space="preserve"> </w:t>
      </w:r>
      <w:proofErr w:type="gramStart"/>
      <w:r w:rsidRPr="00D50C42">
        <w:rPr>
          <w:rFonts w:ascii="Times New Roman" w:hAnsi="Times New Roman" w:cs="Times New Roman"/>
          <w:sz w:val="26"/>
          <w:szCs w:val="26"/>
        </w:rPr>
        <w:t xml:space="preserve">10 – 5000 реалов за 1 </w:t>
      </w:r>
      <w:proofErr w:type="spellStart"/>
      <w:r w:rsidRPr="00D50C42">
        <w:rPr>
          <w:rFonts w:ascii="Times New Roman" w:hAnsi="Times New Roman" w:cs="Times New Roman"/>
          <w:sz w:val="26"/>
          <w:szCs w:val="26"/>
        </w:rPr>
        <w:t>кв.км</w:t>
      </w:r>
      <w:proofErr w:type="spellEnd"/>
      <w:r w:rsidRPr="00D50C42">
        <w:rPr>
          <w:rFonts w:ascii="Times New Roman" w:hAnsi="Times New Roman" w:cs="Times New Roman"/>
          <w:sz w:val="26"/>
          <w:szCs w:val="26"/>
        </w:rPr>
        <w:t>.), а также выплаты на возмещение издержек собственнику участка 0,5-1% актуальной стоимости добываемых ресурсов.</w:t>
      </w:r>
      <w:proofErr w:type="gramEnd"/>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Ставка налога на доходы корпораций составляет 34%. Резиденты уплачивают налог по ставке 15% и 10% дополнительно на прибыль, превышающую 240 000 бразильских реалов в год. Также применяется социальный налог – 9% от чистой прибыли корпораций. </w:t>
      </w:r>
      <w:proofErr w:type="gramStart"/>
      <w:r w:rsidRPr="00D50C42">
        <w:rPr>
          <w:rFonts w:ascii="Times New Roman" w:hAnsi="Times New Roman" w:cs="Times New Roman"/>
          <w:sz w:val="26"/>
          <w:szCs w:val="26"/>
        </w:rPr>
        <w:t>Амортизация недвижимого имущества осуществляется в соответствии со сроком полезного использования (при двухсменной работе компании допускаются ускоренные нормы амортизации – с коэффициентом 1,5 от обычной нормы, при трехсменной – 2).</w:t>
      </w:r>
      <w:proofErr w:type="gramEnd"/>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Используется дифференцированный подход при исчислении налогов, удерживаемых у источника (15-25%). Выплаты дивидендов не облагаются налогами у источника. </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Ставки налога на добавленную стоимость – 17-19%. Сделки между субъектами различных штатов облагаются по ставкам 7-12%. Существует система импортных пошлин на ввозимое оборудование (средний размер – 14% от таможенной стоимости).</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Применяется система налоговых льгот, направленных на привлечение бизнеса в слаборазвитые регионы. Кроме того, существует специальный режим REPENEC, который относится к инфраструктурным проектам в нефтегазовом секторе. </w:t>
      </w:r>
      <w:proofErr w:type="gramStart"/>
      <w:r w:rsidRPr="00D50C42">
        <w:rPr>
          <w:rFonts w:ascii="Times New Roman" w:hAnsi="Times New Roman" w:cs="Times New Roman"/>
          <w:sz w:val="26"/>
          <w:szCs w:val="26"/>
        </w:rPr>
        <w:t>Режим подразумевает освобождение от ряда налогов (социальный налог, НДС сделок по приобретению оборудования и материалов, используемых в инфраструктурных проектах.</w:t>
      </w:r>
      <w:proofErr w:type="gramEnd"/>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Существующая система налогообложения обеспечивает положительную динамику добычи нефти и воспроизводства запасов, хотя и не позволяет добиться полной автономии. Отчасти это связано с довольно </w:t>
      </w:r>
      <w:proofErr w:type="gramStart"/>
      <w:r w:rsidRPr="00D50C42">
        <w:rPr>
          <w:rFonts w:ascii="Times New Roman" w:hAnsi="Times New Roman" w:cs="Times New Roman"/>
          <w:sz w:val="26"/>
          <w:szCs w:val="26"/>
        </w:rPr>
        <w:t>невысокой</w:t>
      </w:r>
      <w:proofErr w:type="gramEnd"/>
      <w:r w:rsidRPr="00D50C42">
        <w:rPr>
          <w:rFonts w:ascii="Times New Roman" w:hAnsi="Times New Roman" w:cs="Times New Roman"/>
          <w:sz w:val="26"/>
          <w:szCs w:val="26"/>
        </w:rPr>
        <w:t xml:space="preserve"> обеспеченность </w:t>
      </w:r>
      <w:r w:rsidRPr="00D50C42">
        <w:rPr>
          <w:rFonts w:ascii="Times New Roman" w:hAnsi="Times New Roman" w:cs="Times New Roman"/>
          <w:sz w:val="26"/>
          <w:szCs w:val="26"/>
        </w:rPr>
        <w:lastRenderedPageBreak/>
        <w:t xml:space="preserve">запасами – не более 19 лет. Доля малых и независимых компаний на рынке очень мала, до 90% добычи контролирует государственная </w:t>
      </w:r>
      <w:proofErr w:type="spellStart"/>
      <w:r w:rsidRPr="00D50C42">
        <w:rPr>
          <w:rFonts w:ascii="Times New Roman" w:hAnsi="Times New Roman" w:cs="Times New Roman"/>
          <w:sz w:val="26"/>
          <w:szCs w:val="26"/>
        </w:rPr>
        <w:t>Petrobras</w:t>
      </w:r>
      <w:proofErr w:type="spellEnd"/>
      <w:r w:rsidRPr="00D50C42">
        <w:rPr>
          <w:rFonts w:ascii="Times New Roman" w:hAnsi="Times New Roman" w:cs="Times New Roman"/>
          <w:sz w:val="26"/>
          <w:szCs w:val="26"/>
        </w:rPr>
        <w:t>.</w:t>
      </w:r>
    </w:p>
    <w:p w:rsidR="00A24C32" w:rsidRPr="00A24C32" w:rsidRDefault="00A24C32" w:rsidP="00A24C32">
      <w:pPr>
        <w:spacing w:after="120"/>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В Китае применяются режим соглашения о разделе продукции, бонус и налог на доходы корпораций, а также существует налогообложение дополнительных нефтяных доходов, налог на добычу полезных ископаемых, НДС. Применяются различные местные налоги, налог на строительство городов, сбор на </w:t>
      </w:r>
      <w:r>
        <w:rPr>
          <w:rFonts w:ascii="Times New Roman" w:hAnsi="Times New Roman" w:cs="Times New Roman"/>
          <w:sz w:val="26"/>
          <w:szCs w:val="26"/>
        </w:rPr>
        <w:t xml:space="preserve">развитие местного образования. </w:t>
      </w:r>
    </w:p>
    <w:p w:rsidR="00A44E5D" w:rsidRPr="001E186E" w:rsidRDefault="00A44E5D" w:rsidP="00A44E5D">
      <w:pPr>
        <w:spacing w:after="120"/>
        <w:ind w:firstLine="709"/>
        <w:jc w:val="both"/>
        <w:rPr>
          <w:rFonts w:ascii="Times New Roman" w:hAnsi="Times New Roman" w:cs="Times New Roman"/>
          <w:b/>
          <w:i/>
          <w:sz w:val="20"/>
          <w:szCs w:val="24"/>
        </w:rPr>
      </w:pPr>
      <w:r w:rsidRPr="001E186E">
        <w:rPr>
          <w:rFonts w:ascii="Times New Roman" w:hAnsi="Times New Roman" w:cs="Times New Roman"/>
          <w:b/>
          <w:i/>
          <w:sz w:val="20"/>
          <w:szCs w:val="24"/>
        </w:rPr>
        <w:t>Динамика нефтедобывающего сектора Китая</w:t>
      </w:r>
    </w:p>
    <w:p w:rsidR="00A44E5D" w:rsidRDefault="00A44E5D" w:rsidP="00A44E5D">
      <w:pPr>
        <w:spacing w:after="120"/>
        <w:jc w:val="both"/>
        <w:rPr>
          <w:rFonts w:ascii="Times New Roman" w:hAnsi="Times New Roman" w:cs="Times New Roman"/>
          <w:i/>
          <w:sz w:val="24"/>
          <w:szCs w:val="24"/>
        </w:rPr>
      </w:pPr>
      <w:r w:rsidRPr="00293F70">
        <w:rPr>
          <w:rFonts w:ascii="Times New Roman" w:hAnsi="Times New Roman" w:cs="Times New Roman"/>
          <w:i/>
          <w:noProof/>
          <w:sz w:val="24"/>
          <w:szCs w:val="24"/>
          <w:lang w:eastAsia="ru-RU"/>
        </w:rPr>
        <w:drawing>
          <wp:inline distT="0" distB="0" distL="0" distR="0" wp14:anchorId="295C59D1" wp14:editId="56EE7526">
            <wp:extent cx="5940425" cy="2086414"/>
            <wp:effectExtent l="0" t="0" r="3175" b="0"/>
            <wp:docPr id="11"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44E5D" w:rsidRPr="001E186E" w:rsidRDefault="00A44E5D" w:rsidP="00A44E5D">
      <w:pPr>
        <w:spacing w:after="120"/>
        <w:ind w:firstLine="709"/>
        <w:jc w:val="both"/>
        <w:rPr>
          <w:rFonts w:ascii="Times New Roman" w:hAnsi="Times New Roman" w:cs="Times New Roman"/>
          <w:i/>
          <w:sz w:val="20"/>
          <w:szCs w:val="24"/>
          <w:lang w:val="en-US"/>
        </w:rPr>
      </w:pPr>
      <w:r w:rsidRPr="001E186E">
        <w:rPr>
          <w:rFonts w:ascii="Times New Roman" w:hAnsi="Times New Roman" w:cs="Times New Roman"/>
          <w:i/>
          <w:sz w:val="20"/>
          <w:szCs w:val="24"/>
        </w:rPr>
        <w:t>Источник</w:t>
      </w:r>
      <w:r w:rsidRPr="001E186E">
        <w:rPr>
          <w:rFonts w:ascii="Times New Roman" w:hAnsi="Times New Roman" w:cs="Times New Roman"/>
          <w:i/>
          <w:sz w:val="20"/>
          <w:szCs w:val="24"/>
          <w:lang w:val="en-US"/>
        </w:rPr>
        <w:t>: BP Statistical Review of World Energy June 2015</w:t>
      </w:r>
    </w:p>
    <w:p w:rsidR="00A44E5D" w:rsidRPr="00D50C42" w:rsidRDefault="00A44E5D" w:rsidP="00A24C32">
      <w:pPr>
        <w:spacing w:after="120" w:line="240" w:lineRule="auto"/>
        <w:ind w:firstLine="709"/>
        <w:jc w:val="both"/>
        <w:rPr>
          <w:rFonts w:ascii="Times New Roman" w:hAnsi="Times New Roman" w:cs="Times New Roman"/>
          <w:sz w:val="26"/>
          <w:szCs w:val="26"/>
          <w:lang w:val="en-US"/>
        </w:rPr>
      </w:pP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Бонусы определяются в рамках соглашений о разделе продукции в зависимости от планируемых объемов добычи и экономических показателей.</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Роялти установлены в размере от 0 до 12,5% (не применяется в соглашениях о разделе продукции, заключенных после 01.11.2011).</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Установлен специальный налог для производителей нефти (</w:t>
      </w:r>
      <w:proofErr w:type="spellStart"/>
      <w:r w:rsidRPr="00D50C42">
        <w:rPr>
          <w:rFonts w:ascii="Times New Roman" w:hAnsi="Times New Roman" w:cs="Times New Roman"/>
          <w:sz w:val="26"/>
          <w:szCs w:val="26"/>
        </w:rPr>
        <w:t>special</w:t>
      </w:r>
      <w:proofErr w:type="spellEnd"/>
      <w:r w:rsidRPr="00D50C42">
        <w:rPr>
          <w:rFonts w:ascii="Times New Roman" w:hAnsi="Times New Roman" w:cs="Times New Roman"/>
          <w:sz w:val="26"/>
          <w:szCs w:val="26"/>
        </w:rPr>
        <w:t xml:space="preserve"> </w:t>
      </w:r>
      <w:proofErr w:type="spellStart"/>
      <w:r w:rsidRPr="00D50C42">
        <w:rPr>
          <w:rFonts w:ascii="Times New Roman" w:hAnsi="Times New Roman" w:cs="Times New Roman"/>
          <w:sz w:val="26"/>
          <w:szCs w:val="26"/>
        </w:rPr>
        <w:t>oil</w:t>
      </w:r>
      <w:proofErr w:type="spellEnd"/>
      <w:r w:rsidRPr="00D50C42">
        <w:rPr>
          <w:rFonts w:ascii="Times New Roman" w:hAnsi="Times New Roman" w:cs="Times New Roman"/>
          <w:sz w:val="26"/>
          <w:szCs w:val="26"/>
        </w:rPr>
        <w:t xml:space="preserve"> </w:t>
      </w:r>
      <w:proofErr w:type="spellStart"/>
      <w:r w:rsidRPr="00D50C42">
        <w:rPr>
          <w:rFonts w:ascii="Times New Roman" w:hAnsi="Times New Roman" w:cs="Times New Roman"/>
          <w:sz w:val="26"/>
          <w:szCs w:val="26"/>
        </w:rPr>
        <w:t>gain</w:t>
      </w:r>
      <w:proofErr w:type="spellEnd"/>
      <w:r w:rsidRPr="00D50C42">
        <w:rPr>
          <w:rFonts w:ascii="Times New Roman" w:hAnsi="Times New Roman" w:cs="Times New Roman"/>
          <w:sz w:val="26"/>
          <w:szCs w:val="26"/>
        </w:rPr>
        <w:t xml:space="preserve"> </w:t>
      </w:r>
      <w:proofErr w:type="spellStart"/>
      <w:r w:rsidRPr="00D50C42">
        <w:rPr>
          <w:rFonts w:ascii="Times New Roman" w:hAnsi="Times New Roman" w:cs="Times New Roman"/>
          <w:sz w:val="26"/>
          <w:szCs w:val="26"/>
        </w:rPr>
        <w:t>levy</w:t>
      </w:r>
      <w:proofErr w:type="spellEnd"/>
      <w:r w:rsidRPr="00D50C42">
        <w:rPr>
          <w:rFonts w:ascii="Times New Roman" w:hAnsi="Times New Roman" w:cs="Times New Roman"/>
          <w:sz w:val="26"/>
          <w:szCs w:val="26"/>
        </w:rPr>
        <w:t>), который взимается, когда средневзвешенная стоимость сырой нефти превышает 65 долларов за баррель.  Ставки налога: при стоимости сырой нефти 65-70 долларов за баррель – ставка 20%; 70-75 – 25%; 75-80 – 30%; 80-85 – 35%; свыше 85 – 40%.</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Налог на добычу полезных ископаемых установлен в размере 6% от стоимости продаваемой нефти.</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Ставка налога на доходы корпораций – 25%, при этом операционные убытки могут быть перенесены на 5 будущих лет. Расходы на приобретение и обустройство месторождений подлежат амортизации линейным методом. Минимальный амортизационный период – 3 года. Амортизация расходов на развитие на линейной основе на период не менее 8 лет, начиная с периода коммерческой эксплуатации.</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Ставка налогов на дивиденды, проценты, роялти и аналогичные платежи устанавливается в размере 10%. Однако конкретные размеры определяются положениями договоров об </w:t>
      </w:r>
      <w:proofErr w:type="spellStart"/>
      <w:r w:rsidRPr="00D50C42">
        <w:rPr>
          <w:rFonts w:ascii="Times New Roman" w:hAnsi="Times New Roman" w:cs="Times New Roman"/>
          <w:sz w:val="26"/>
          <w:szCs w:val="26"/>
        </w:rPr>
        <w:t>избежании</w:t>
      </w:r>
      <w:proofErr w:type="spellEnd"/>
      <w:r w:rsidRPr="00D50C42">
        <w:rPr>
          <w:rFonts w:ascii="Times New Roman" w:hAnsi="Times New Roman" w:cs="Times New Roman"/>
          <w:sz w:val="26"/>
          <w:szCs w:val="26"/>
        </w:rPr>
        <w:t xml:space="preserve"> двойного налогообложения.</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Используются косвенные налоги - НДС на сырую нефть, природный газ, производимых на совместных предприятиях (17%).</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lastRenderedPageBreak/>
        <w:t xml:space="preserve">Используются отдельные налоговые льготы и стимулы. Подтвержденные расходы на научные разработки могут быть приняты к вычету в размере 150% от фактически </w:t>
      </w:r>
      <w:proofErr w:type="gramStart"/>
      <w:r w:rsidRPr="00D50C42">
        <w:rPr>
          <w:rFonts w:ascii="Times New Roman" w:hAnsi="Times New Roman" w:cs="Times New Roman"/>
          <w:sz w:val="26"/>
          <w:szCs w:val="26"/>
        </w:rPr>
        <w:t>произведенных</w:t>
      </w:r>
      <w:proofErr w:type="gramEnd"/>
      <w:r w:rsidRPr="00D50C42">
        <w:rPr>
          <w:rFonts w:ascii="Times New Roman" w:hAnsi="Times New Roman" w:cs="Times New Roman"/>
          <w:sz w:val="26"/>
          <w:szCs w:val="26"/>
        </w:rPr>
        <w:t>. Расходы на благотворительность в размере 12% валовой годовой прибыли подлежат вычету из налогооблагаемой базы.</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Существующая система налогообложения не обеспечивает необходимой динамики добычи нефти и воспроизводства запасов, тогда как по уровню потребления Китай занимает вторую позицию в мире, уступая лишь США. Основная причина - потенциал увеличения добычи очень невелик, а уровень обеспеченности запасами не превышает 12 лет.</w:t>
      </w:r>
    </w:p>
    <w:p w:rsidR="00A44E5D" w:rsidRDefault="00A44E5D" w:rsidP="00A44E5D">
      <w:pPr>
        <w:spacing w:after="120"/>
        <w:ind w:firstLine="709"/>
        <w:jc w:val="both"/>
        <w:rPr>
          <w:rFonts w:ascii="Times New Roman" w:hAnsi="Times New Roman" w:cs="Times New Roman"/>
          <w:sz w:val="24"/>
          <w:szCs w:val="24"/>
        </w:rPr>
      </w:pPr>
    </w:p>
    <w:p w:rsidR="00A44E5D" w:rsidRPr="00BB3EF1" w:rsidRDefault="00A44E5D" w:rsidP="00A44E5D">
      <w:pPr>
        <w:spacing w:after="120"/>
        <w:ind w:firstLine="709"/>
        <w:jc w:val="both"/>
        <w:rPr>
          <w:rFonts w:ascii="Times New Roman" w:hAnsi="Times New Roman" w:cs="Times New Roman"/>
          <w:b/>
          <w:i/>
          <w:sz w:val="20"/>
          <w:szCs w:val="24"/>
        </w:rPr>
      </w:pPr>
      <w:r w:rsidRPr="00BB3EF1">
        <w:rPr>
          <w:rFonts w:ascii="Times New Roman" w:hAnsi="Times New Roman" w:cs="Times New Roman"/>
          <w:b/>
          <w:i/>
          <w:sz w:val="20"/>
          <w:szCs w:val="24"/>
        </w:rPr>
        <w:t>Динамика нефтедобывающего сектора Казахстана</w:t>
      </w:r>
    </w:p>
    <w:p w:rsidR="00A44E5D" w:rsidRDefault="00A44E5D" w:rsidP="00A44E5D">
      <w:pPr>
        <w:spacing w:after="120"/>
        <w:jc w:val="both"/>
        <w:rPr>
          <w:rFonts w:ascii="Times New Roman" w:hAnsi="Times New Roman" w:cs="Times New Roman"/>
          <w:sz w:val="24"/>
          <w:szCs w:val="24"/>
        </w:rPr>
      </w:pPr>
      <w:r w:rsidRPr="00506680">
        <w:rPr>
          <w:rFonts w:ascii="Times New Roman" w:hAnsi="Times New Roman" w:cs="Times New Roman"/>
          <w:noProof/>
          <w:sz w:val="24"/>
          <w:szCs w:val="24"/>
          <w:lang w:eastAsia="ru-RU"/>
        </w:rPr>
        <w:drawing>
          <wp:inline distT="0" distB="0" distL="0" distR="0" wp14:anchorId="151124EC" wp14:editId="4DC23DB6">
            <wp:extent cx="5855278" cy="2195946"/>
            <wp:effectExtent l="0" t="0" r="0" b="0"/>
            <wp:docPr id="24"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44E5D" w:rsidRPr="00E26F12" w:rsidRDefault="00A44E5D" w:rsidP="00A44E5D">
      <w:pPr>
        <w:spacing w:after="120"/>
        <w:ind w:firstLine="709"/>
        <w:jc w:val="both"/>
        <w:rPr>
          <w:rFonts w:ascii="Times New Roman" w:hAnsi="Times New Roman" w:cs="Times New Roman"/>
          <w:i/>
          <w:sz w:val="20"/>
          <w:szCs w:val="24"/>
          <w:lang w:val="en-US"/>
        </w:rPr>
      </w:pPr>
      <w:r w:rsidRPr="00BB3EF1">
        <w:rPr>
          <w:rFonts w:ascii="Times New Roman" w:hAnsi="Times New Roman" w:cs="Times New Roman"/>
          <w:i/>
          <w:sz w:val="20"/>
          <w:szCs w:val="24"/>
        </w:rPr>
        <w:t>Источник</w:t>
      </w:r>
      <w:r w:rsidRPr="00BB3EF1">
        <w:rPr>
          <w:rFonts w:ascii="Times New Roman" w:hAnsi="Times New Roman" w:cs="Times New Roman"/>
          <w:i/>
          <w:sz w:val="20"/>
          <w:szCs w:val="24"/>
          <w:lang w:val="en-US"/>
        </w:rPr>
        <w:t>: BP Statistical Review of World Energy June 2015</w:t>
      </w:r>
    </w:p>
    <w:p w:rsidR="00A44E5D" w:rsidRPr="00D50C42" w:rsidRDefault="00A44E5D" w:rsidP="00A24C32">
      <w:pPr>
        <w:spacing w:after="120" w:line="240" w:lineRule="auto"/>
        <w:ind w:firstLine="709"/>
        <w:jc w:val="both"/>
        <w:rPr>
          <w:rFonts w:ascii="Times New Roman" w:hAnsi="Times New Roman" w:cs="Times New Roman"/>
          <w:i/>
          <w:sz w:val="26"/>
          <w:szCs w:val="26"/>
          <w:lang w:val="en-US"/>
        </w:rPr>
      </w:pP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Казахстан является достаточно новым игроком на мировом рынке нефти, что стало возможным благодаря открытию и вовлечению в оборот новых запасов в </w:t>
      </w:r>
      <w:proofErr w:type="gramStart"/>
      <w:r w:rsidRPr="00D50C42">
        <w:rPr>
          <w:rFonts w:ascii="Times New Roman" w:hAnsi="Times New Roman" w:cs="Times New Roman"/>
          <w:sz w:val="26"/>
          <w:szCs w:val="26"/>
        </w:rPr>
        <w:t>последние</w:t>
      </w:r>
      <w:proofErr w:type="gramEnd"/>
      <w:r w:rsidRPr="00D50C42">
        <w:rPr>
          <w:rFonts w:ascii="Times New Roman" w:hAnsi="Times New Roman" w:cs="Times New Roman"/>
          <w:sz w:val="26"/>
          <w:szCs w:val="26"/>
        </w:rPr>
        <w:t xml:space="preserve"> 10 лет.</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Система налогообложения нефтяного сектора представляет собой комбинацию роялти и налога на доходы корпораций, активно используются соглашения о разделе продукции.</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В качестве роялти выступает налог на добычу полезных ископаемых, ставки которого устанавливаются в зависимости от объема добычи. </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Ежегодно рассчитывается налог на дополнительную прибыль (налог на сверхприбыль), уплачиваемый по прогрессивной шкале, ставки которой применяются к потокам дохода, оставшимся после вычитания сумм налога на доходы корпораций. Налог исчисляется ежегодно, облагаемый доход – это часть чистого дохода (при его наличии), которая превышает 25% всех вычетов. Чистый доход рассчитывается как совокупный годовой доход минус вычеты, минус налог на доходы корпораций. Объектом обложения налогом на сверхприбыль является часть чистого дохода </w:t>
      </w:r>
      <w:proofErr w:type="spellStart"/>
      <w:r w:rsidRPr="00D50C42">
        <w:rPr>
          <w:rFonts w:ascii="Times New Roman" w:hAnsi="Times New Roman" w:cs="Times New Roman"/>
          <w:sz w:val="26"/>
          <w:szCs w:val="26"/>
        </w:rPr>
        <w:t>недропользователя</w:t>
      </w:r>
      <w:proofErr w:type="spellEnd"/>
      <w:r w:rsidRPr="00D50C42">
        <w:rPr>
          <w:rFonts w:ascii="Times New Roman" w:hAnsi="Times New Roman" w:cs="Times New Roman"/>
          <w:sz w:val="26"/>
          <w:szCs w:val="26"/>
        </w:rPr>
        <w:t xml:space="preserve"> по каждому отдельному контракту за налоговый период. Налог на сверхприбыль исчисляется по ставкам от 0 до 60 % исходя из достигнутого уровня внутренней нормы прибыли на конец налогового периода (календарный год).</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lastRenderedPageBreak/>
        <w:t xml:space="preserve">Ставка налога на доходы корпораций – 20%. Отчисления на воспроизводство капитала уменьшают налогооблагаемую базу по налогу на доходы корпораций и налогу на дополнительную прибыль. </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Ставка налогов на дивиденды, проценты, роялти и аналогичные платежи устанавливается в размере 15%. Однако конкретные размеры определяются положениями договоров об </w:t>
      </w:r>
      <w:proofErr w:type="spellStart"/>
      <w:r w:rsidRPr="00D50C42">
        <w:rPr>
          <w:rFonts w:ascii="Times New Roman" w:hAnsi="Times New Roman" w:cs="Times New Roman"/>
          <w:sz w:val="26"/>
          <w:szCs w:val="26"/>
        </w:rPr>
        <w:t>избежании</w:t>
      </w:r>
      <w:proofErr w:type="spellEnd"/>
      <w:r w:rsidRPr="00D50C42">
        <w:rPr>
          <w:rFonts w:ascii="Times New Roman" w:hAnsi="Times New Roman" w:cs="Times New Roman"/>
          <w:sz w:val="26"/>
          <w:szCs w:val="26"/>
        </w:rPr>
        <w:t xml:space="preserve"> двойного налогообложения.</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Применяется модель НДС, характерная для Евросоюза. В настоящий момент ставка НДС – 12%.</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Налогообложение экспорта сырой нефти и газового конденсата – 0-32%. Пошлина на экспорт сырой нефти взимается на уровне 60 долларов за тонну. Импорт оборудования из стран таможенного союза – 12% НДС.</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В 2007 году объем доказанных запасов в Казахстане увеличился более</w:t>
      </w:r>
      <w:proofErr w:type="gramStart"/>
      <w:r w:rsidRPr="00D50C42">
        <w:rPr>
          <w:rFonts w:ascii="Times New Roman" w:hAnsi="Times New Roman" w:cs="Times New Roman"/>
          <w:sz w:val="26"/>
          <w:szCs w:val="26"/>
        </w:rPr>
        <w:t>,</w:t>
      </w:r>
      <w:proofErr w:type="gramEnd"/>
      <w:r w:rsidRPr="00D50C42">
        <w:rPr>
          <w:rFonts w:ascii="Times New Roman" w:hAnsi="Times New Roman" w:cs="Times New Roman"/>
          <w:sz w:val="26"/>
          <w:szCs w:val="26"/>
        </w:rPr>
        <w:t xml:space="preserve"> чем в 3 раза, и сегодня обеспеченность добычи составляет 48 лет. Во многом это было обусловлено активным привлечением крупных иностранных инвесторов, которым система налогообложения предоставляла максимально комфортные условия. Сегодня 62% добычи в стране обеспечивают 3 </w:t>
      </w:r>
      <w:proofErr w:type="gramStart"/>
      <w:r w:rsidRPr="00D50C42">
        <w:rPr>
          <w:rFonts w:ascii="Times New Roman" w:hAnsi="Times New Roman" w:cs="Times New Roman"/>
          <w:sz w:val="26"/>
          <w:szCs w:val="26"/>
        </w:rPr>
        <w:t>крупнейших</w:t>
      </w:r>
      <w:proofErr w:type="gramEnd"/>
      <w:r w:rsidRPr="00D50C42">
        <w:rPr>
          <w:rFonts w:ascii="Times New Roman" w:hAnsi="Times New Roman" w:cs="Times New Roman"/>
          <w:sz w:val="26"/>
          <w:szCs w:val="26"/>
        </w:rPr>
        <w:t xml:space="preserve"> производителя (с участием государственной </w:t>
      </w:r>
      <w:r w:rsidRPr="00D50C42">
        <w:rPr>
          <w:rFonts w:ascii="Times New Roman" w:hAnsi="Times New Roman" w:cs="Times New Roman"/>
          <w:sz w:val="26"/>
          <w:szCs w:val="26"/>
          <w:lang w:val="en-US"/>
        </w:rPr>
        <w:t>KMG</w:t>
      </w:r>
      <w:r w:rsidRPr="00D50C42">
        <w:rPr>
          <w:rFonts w:ascii="Times New Roman" w:hAnsi="Times New Roman" w:cs="Times New Roman"/>
          <w:sz w:val="26"/>
          <w:szCs w:val="26"/>
        </w:rPr>
        <w:t>).</w:t>
      </w:r>
    </w:p>
    <w:p w:rsidR="00A44E5D" w:rsidRPr="00D50C42" w:rsidRDefault="00A44E5D" w:rsidP="00A24C32">
      <w:pPr>
        <w:spacing w:after="120" w:line="240" w:lineRule="auto"/>
        <w:ind w:firstLine="709"/>
        <w:jc w:val="both"/>
        <w:rPr>
          <w:rFonts w:ascii="Times New Roman" w:hAnsi="Times New Roman" w:cs="Times New Roman"/>
          <w:sz w:val="26"/>
          <w:szCs w:val="26"/>
        </w:rPr>
      </w:pP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Сравнительный анализ практики налогообложения можно провести на примере нефтяной компании, работающей сразу в нескольких регионах мира – например, норвежской </w:t>
      </w:r>
      <w:r w:rsidRPr="00D50C42">
        <w:rPr>
          <w:rFonts w:ascii="Times New Roman" w:hAnsi="Times New Roman" w:cs="Times New Roman"/>
          <w:sz w:val="26"/>
          <w:szCs w:val="26"/>
          <w:lang w:val="en-US"/>
        </w:rPr>
        <w:t>Statoil</w:t>
      </w:r>
      <w:r w:rsidRPr="00D50C42">
        <w:rPr>
          <w:rFonts w:ascii="Times New Roman" w:hAnsi="Times New Roman" w:cs="Times New Roman"/>
          <w:sz w:val="26"/>
          <w:szCs w:val="26"/>
        </w:rPr>
        <w:t xml:space="preserve">. </w:t>
      </w:r>
      <w:proofErr w:type="gramStart"/>
      <w:r w:rsidRPr="00D50C42">
        <w:rPr>
          <w:rFonts w:ascii="Times New Roman" w:hAnsi="Times New Roman" w:cs="Times New Roman"/>
          <w:sz w:val="26"/>
          <w:szCs w:val="26"/>
        </w:rPr>
        <w:t>Наименьшая налоговая нагрузка у компании отмечается на рынках развитых стран, в то время как на развивающихся она составляет 60% и более по отношению к выручке, формируемой на национальном рынке (преобладающую часть отчислений во многих из них дают соглашения о разделе продукции).</w:t>
      </w:r>
      <w:proofErr w:type="gramEnd"/>
    </w:p>
    <w:p w:rsidR="00A44E5D" w:rsidRDefault="00A44E5D" w:rsidP="00A44E5D">
      <w:pPr>
        <w:spacing w:after="120"/>
        <w:ind w:firstLine="709"/>
        <w:jc w:val="both"/>
        <w:rPr>
          <w:rFonts w:ascii="Times New Roman" w:hAnsi="Times New Roman" w:cs="Times New Roman"/>
          <w:sz w:val="24"/>
          <w:szCs w:val="24"/>
        </w:rPr>
      </w:pPr>
    </w:p>
    <w:p w:rsidR="00A44E5D" w:rsidRPr="003149F4" w:rsidRDefault="00A44E5D" w:rsidP="00A44E5D">
      <w:pPr>
        <w:spacing w:after="120"/>
        <w:ind w:firstLine="709"/>
        <w:jc w:val="both"/>
        <w:rPr>
          <w:rFonts w:ascii="Times New Roman" w:hAnsi="Times New Roman" w:cs="Times New Roman"/>
          <w:b/>
          <w:i/>
          <w:sz w:val="20"/>
          <w:szCs w:val="24"/>
        </w:rPr>
      </w:pPr>
      <w:r>
        <w:rPr>
          <w:rFonts w:ascii="Times New Roman" w:hAnsi="Times New Roman" w:cs="Times New Roman"/>
          <w:b/>
          <w:i/>
          <w:sz w:val="20"/>
          <w:szCs w:val="24"/>
        </w:rPr>
        <w:t>Налоговые и иные платежи за пользование недрами в регионах присутствия S</w:t>
      </w:r>
      <w:proofErr w:type="spellStart"/>
      <w:r>
        <w:rPr>
          <w:rFonts w:ascii="Times New Roman" w:hAnsi="Times New Roman" w:cs="Times New Roman"/>
          <w:b/>
          <w:i/>
          <w:sz w:val="20"/>
          <w:szCs w:val="24"/>
          <w:lang w:val="en-US"/>
        </w:rPr>
        <w:t>tatoil</w:t>
      </w:r>
      <w:proofErr w:type="spellEnd"/>
    </w:p>
    <w:tbl>
      <w:tblPr>
        <w:tblStyle w:val="-110"/>
        <w:tblW w:w="10314" w:type="dxa"/>
        <w:tblLayout w:type="fixed"/>
        <w:tblLook w:val="04A0" w:firstRow="1" w:lastRow="0" w:firstColumn="1" w:lastColumn="0" w:noHBand="0" w:noVBand="1"/>
      </w:tblPr>
      <w:tblGrid>
        <w:gridCol w:w="1487"/>
        <w:gridCol w:w="889"/>
        <w:gridCol w:w="993"/>
        <w:gridCol w:w="1010"/>
        <w:gridCol w:w="1058"/>
        <w:gridCol w:w="870"/>
        <w:gridCol w:w="964"/>
        <w:gridCol w:w="1143"/>
        <w:gridCol w:w="766"/>
        <w:gridCol w:w="1134"/>
      </w:tblGrid>
      <w:tr w:rsidR="00A44E5D" w:rsidRPr="003149F4" w:rsidTr="00A24C32">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87" w:type="dxa"/>
            <w:noWrap/>
            <w:hideMark/>
          </w:tcPr>
          <w:p w:rsidR="00A44E5D" w:rsidRPr="003149F4" w:rsidRDefault="00A44E5D" w:rsidP="00A44E5D">
            <w:pPr>
              <w:rPr>
                <w:rFonts w:ascii="Times New Roman" w:eastAsia="Times New Roman" w:hAnsi="Times New Roman" w:cs="Times New Roman"/>
                <w:b w:val="0"/>
                <w:color w:val="000000"/>
                <w:sz w:val="20"/>
                <w:szCs w:val="20"/>
              </w:rPr>
            </w:pPr>
          </w:p>
        </w:tc>
        <w:tc>
          <w:tcPr>
            <w:tcW w:w="889" w:type="dxa"/>
            <w:noWrap/>
            <w:hideMark/>
          </w:tcPr>
          <w:p w:rsidR="00A44E5D" w:rsidRPr="003149F4" w:rsidRDefault="00A44E5D" w:rsidP="00A44E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3149F4">
              <w:rPr>
                <w:rFonts w:ascii="Times New Roman" w:eastAsia="Times New Roman" w:hAnsi="Times New Roman" w:cs="Times New Roman"/>
                <w:b w:val="0"/>
                <w:color w:val="000000"/>
                <w:sz w:val="20"/>
                <w:szCs w:val="20"/>
              </w:rPr>
              <w:t>Алжир</w:t>
            </w:r>
          </w:p>
        </w:tc>
        <w:tc>
          <w:tcPr>
            <w:tcW w:w="993" w:type="dxa"/>
            <w:noWrap/>
            <w:hideMark/>
          </w:tcPr>
          <w:p w:rsidR="00A44E5D" w:rsidRPr="003149F4" w:rsidRDefault="00A44E5D" w:rsidP="00A44E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3149F4">
              <w:rPr>
                <w:rFonts w:ascii="Times New Roman" w:eastAsia="Times New Roman" w:hAnsi="Times New Roman" w:cs="Times New Roman"/>
                <w:b w:val="0"/>
                <w:color w:val="000000"/>
                <w:sz w:val="20"/>
                <w:szCs w:val="20"/>
              </w:rPr>
              <w:t>Ангола</w:t>
            </w:r>
          </w:p>
        </w:tc>
        <w:tc>
          <w:tcPr>
            <w:tcW w:w="1010" w:type="dxa"/>
            <w:noWrap/>
            <w:hideMark/>
          </w:tcPr>
          <w:p w:rsidR="00A44E5D" w:rsidRPr="003149F4" w:rsidRDefault="00A24C32" w:rsidP="00A44E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rPr>
              <w:t>Азербай</w:t>
            </w:r>
            <w:r w:rsidR="00A44E5D" w:rsidRPr="003149F4">
              <w:rPr>
                <w:rFonts w:ascii="Times New Roman" w:eastAsia="Times New Roman" w:hAnsi="Times New Roman" w:cs="Times New Roman"/>
                <w:b w:val="0"/>
                <w:color w:val="000000"/>
                <w:sz w:val="20"/>
                <w:szCs w:val="20"/>
              </w:rPr>
              <w:t>джан</w:t>
            </w:r>
          </w:p>
        </w:tc>
        <w:tc>
          <w:tcPr>
            <w:tcW w:w="1058" w:type="dxa"/>
            <w:noWrap/>
            <w:hideMark/>
          </w:tcPr>
          <w:p w:rsidR="00A44E5D" w:rsidRPr="003149F4" w:rsidRDefault="00A44E5D" w:rsidP="00A44E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3149F4">
              <w:rPr>
                <w:rFonts w:ascii="Times New Roman" w:eastAsia="Times New Roman" w:hAnsi="Times New Roman" w:cs="Times New Roman"/>
                <w:b w:val="0"/>
                <w:color w:val="000000"/>
                <w:sz w:val="20"/>
                <w:szCs w:val="20"/>
              </w:rPr>
              <w:t>Бразилия</w:t>
            </w:r>
          </w:p>
        </w:tc>
        <w:tc>
          <w:tcPr>
            <w:tcW w:w="870" w:type="dxa"/>
            <w:noWrap/>
            <w:hideMark/>
          </w:tcPr>
          <w:p w:rsidR="00A44E5D" w:rsidRPr="003149F4" w:rsidRDefault="00A44E5D" w:rsidP="00A44E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3149F4">
              <w:rPr>
                <w:rFonts w:ascii="Times New Roman" w:eastAsia="Times New Roman" w:hAnsi="Times New Roman" w:cs="Times New Roman"/>
                <w:b w:val="0"/>
                <w:color w:val="000000"/>
                <w:sz w:val="20"/>
                <w:szCs w:val="20"/>
              </w:rPr>
              <w:t>Канада</w:t>
            </w:r>
          </w:p>
        </w:tc>
        <w:tc>
          <w:tcPr>
            <w:tcW w:w="964" w:type="dxa"/>
            <w:noWrap/>
            <w:hideMark/>
          </w:tcPr>
          <w:p w:rsidR="00A44E5D" w:rsidRPr="003149F4" w:rsidRDefault="00A44E5D" w:rsidP="00A44E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3149F4">
              <w:rPr>
                <w:rFonts w:ascii="Times New Roman" w:eastAsia="Times New Roman" w:hAnsi="Times New Roman" w:cs="Times New Roman"/>
                <w:b w:val="0"/>
                <w:color w:val="000000"/>
                <w:sz w:val="20"/>
                <w:szCs w:val="20"/>
              </w:rPr>
              <w:t>Нигерия</w:t>
            </w:r>
          </w:p>
        </w:tc>
        <w:tc>
          <w:tcPr>
            <w:tcW w:w="1143" w:type="dxa"/>
            <w:noWrap/>
            <w:hideMark/>
          </w:tcPr>
          <w:p w:rsidR="00A44E5D" w:rsidRPr="003149F4" w:rsidRDefault="00A44E5D" w:rsidP="00A44E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3149F4">
              <w:rPr>
                <w:rFonts w:ascii="Times New Roman" w:eastAsia="Times New Roman" w:hAnsi="Times New Roman" w:cs="Times New Roman"/>
                <w:b w:val="0"/>
                <w:color w:val="000000"/>
                <w:sz w:val="20"/>
                <w:szCs w:val="20"/>
              </w:rPr>
              <w:t>Норвегия</w:t>
            </w:r>
          </w:p>
        </w:tc>
        <w:tc>
          <w:tcPr>
            <w:tcW w:w="766" w:type="dxa"/>
            <w:noWrap/>
            <w:hideMark/>
          </w:tcPr>
          <w:p w:rsidR="00A44E5D" w:rsidRPr="003149F4" w:rsidRDefault="00A44E5D" w:rsidP="00A44E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3149F4">
              <w:rPr>
                <w:rFonts w:ascii="Times New Roman" w:eastAsia="Times New Roman" w:hAnsi="Times New Roman" w:cs="Times New Roman"/>
                <w:b w:val="0"/>
                <w:color w:val="000000"/>
                <w:sz w:val="20"/>
                <w:szCs w:val="20"/>
              </w:rPr>
              <w:t>США</w:t>
            </w:r>
          </w:p>
        </w:tc>
        <w:tc>
          <w:tcPr>
            <w:tcW w:w="1134" w:type="dxa"/>
            <w:noWrap/>
            <w:hideMark/>
          </w:tcPr>
          <w:p w:rsidR="00A44E5D" w:rsidRPr="003149F4" w:rsidRDefault="00A44E5D" w:rsidP="00A44E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proofErr w:type="gramStart"/>
            <w:r w:rsidRPr="003149F4">
              <w:rPr>
                <w:rFonts w:ascii="Times New Roman" w:eastAsia="Times New Roman" w:hAnsi="Times New Roman" w:cs="Times New Roman"/>
                <w:b w:val="0"/>
                <w:color w:val="000000"/>
                <w:sz w:val="20"/>
                <w:szCs w:val="20"/>
              </w:rPr>
              <w:t>Велико</w:t>
            </w:r>
            <w:r>
              <w:rPr>
                <w:rFonts w:ascii="Times New Roman" w:eastAsia="Times New Roman" w:hAnsi="Times New Roman" w:cs="Times New Roman"/>
                <w:b w:val="0"/>
                <w:color w:val="000000"/>
                <w:sz w:val="20"/>
                <w:szCs w:val="20"/>
              </w:rPr>
              <w:t>-</w:t>
            </w:r>
            <w:proofErr w:type="spellStart"/>
            <w:r w:rsidRPr="003149F4">
              <w:rPr>
                <w:rFonts w:ascii="Times New Roman" w:eastAsia="Times New Roman" w:hAnsi="Times New Roman" w:cs="Times New Roman"/>
                <w:b w:val="0"/>
                <w:color w:val="000000"/>
                <w:sz w:val="20"/>
                <w:szCs w:val="20"/>
              </w:rPr>
              <w:t>британия</w:t>
            </w:r>
            <w:proofErr w:type="spellEnd"/>
            <w:proofErr w:type="gramEnd"/>
          </w:p>
        </w:tc>
      </w:tr>
      <w:tr w:rsidR="00A44E5D" w:rsidRPr="003149F4" w:rsidTr="00A24C3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87" w:type="dxa"/>
            <w:noWrap/>
            <w:hideMark/>
          </w:tcPr>
          <w:p w:rsidR="00A44E5D" w:rsidRPr="003149F4" w:rsidRDefault="00A44E5D" w:rsidP="00A44E5D">
            <w:pPr>
              <w:rPr>
                <w:rFonts w:ascii="Times New Roman" w:eastAsia="Times New Roman" w:hAnsi="Times New Roman" w:cs="Times New Roman"/>
                <w:b w:val="0"/>
                <w:color w:val="000000"/>
                <w:sz w:val="20"/>
                <w:szCs w:val="20"/>
              </w:rPr>
            </w:pPr>
            <w:r w:rsidRPr="003149F4">
              <w:rPr>
                <w:rFonts w:ascii="Times New Roman" w:eastAsia="Times New Roman" w:hAnsi="Times New Roman" w:cs="Times New Roman"/>
                <w:b w:val="0"/>
                <w:color w:val="000000"/>
                <w:sz w:val="20"/>
                <w:szCs w:val="20"/>
              </w:rPr>
              <w:t>Налоги, в</w:t>
            </w:r>
            <w:r>
              <w:rPr>
                <w:rFonts w:ascii="Times New Roman" w:eastAsia="Times New Roman" w:hAnsi="Times New Roman" w:cs="Times New Roman"/>
                <w:b w:val="0"/>
                <w:color w:val="000000"/>
                <w:sz w:val="20"/>
                <w:szCs w:val="20"/>
              </w:rPr>
              <w:t xml:space="preserve"> </w:t>
            </w:r>
            <w:proofErr w:type="spellStart"/>
            <w:r>
              <w:rPr>
                <w:rFonts w:ascii="Times New Roman" w:eastAsia="Times New Roman" w:hAnsi="Times New Roman" w:cs="Times New Roman"/>
                <w:b w:val="0"/>
                <w:color w:val="000000"/>
                <w:sz w:val="20"/>
                <w:szCs w:val="20"/>
              </w:rPr>
              <w:t>т.ч</w:t>
            </w:r>
            <w:proofErr w:type="spellEnd"/>
            <w:r>
              <w:rPr>
                <w:rFonts w:ascii="Times New Roman" w:eastAsia="Times New Roman" w:hAnsi="Times New Roman" w:cs="Times New Roman"/>
                <w:b w:val="0"/>
                <w:color w:val="000000"/>
                <w:sz w:val="20"/>
                <w:szCs w:val="20"/>
              </w:rPr>
              <w:t xml:space="preserve">. </w:t>
            </w:r>
            <w:r w:rsidRPr="003149F4">
              <w:rPr>
                <w:rFonts w:ascii="Times New Roman" w:eastAsia="Times New Roman" w:hAnsi="Times New Roman" w:cs="Times New Roman"/>
                <w:b w:val="0"/>
                <w:color w:val="000000"/>
                <w:sz w:val="20"/>
                <w:szCs w:val="20"/>
              </w:rPr>
              <w:t>в натуральной форме</w:t>
            </w:r>
          </w:p>
        </w:tc>
        <w:tc>
          <w:tcPr>
            <w:tcW w:w="889"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1568,1</w:t>
            </w:r>
          </w:p>
        </w:tc>
        <w:tc>
          <w:tcPr>
            <w:tcW w:w="993"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4870,9</w:t>
            </w:r>
          </w:p>
        </w:tc>
        <w:tc>
          <w:tcPr>
            <w:tcW w:w="1010"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1288,6</w:t>
            </w:r>
          </w:p>
        </w:tc>
        <w:tc>
          <w:tcPr>
            <w:tcW w:w="1058"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49,9</w:t>
            </w:r>
          </w:p>
        </w:tc>
        <w:tc>
          <w:tcPr>
            <w:tcW w:w="870"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1,9</w:t>
            </w:r>
          </w:p>
        </w:tc>
        <w:tc>
          <w:tcPr>
            <w:tcW w:w="964"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2948</w:t>
            </w:r>
          </w:p>
        </w:tc>
        <w:tc>
          <w:tcPr>
            <w:tcW w:w="1143"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89679,7</w:t>
            </w:r>
          </w:p>
        </w:tc>
        <w:tc>
          <w:tcPr>
            <w:tcW w:w="766"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245,6</w:t>
            </w:r>
          </w:p>
        </w:tc>
        <w:tc>
          <w:tcPr>
            <w:tcW w:w="1134"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87,1</w:t>
            </w:r>
          </w:p>
        </w:tc>
      </w:tr>
      <w:tr w:rsidR="00A44E5D" w:rsidRPr="003149F4" w:rsidTr="00A24C32">
        <w:trPr>
          <w:trHeight w:val="264"/>
        </w:trPr>
        <w:tc>
          <w:tcPr>
            <w:cnfStyle w:val="001000000000" w:firstRow="0" w:lastRow="0" w:firstColumn="1" w:lastColumn="0" w:oddVBand="0" w:evenVBand="0" w:oddHBand="0" w:evenHBand="0" w:firstRowFirstColumn="0" w:firstRowLastColumn="0" w:lastRowFirstColumn="0" w:lastRowLastColumn="0"/>
            <w:tcW w:w="1487" w:type="dxa"/>
            <w:noWrap/>
            <w:hideMark/>
          </w:tcPr>
          <w:p w:rsidR="00A44E5D" w:rsidRPr="003149F4" w:rsidRDefault="00A44E5D" w:rsidP="00A44E5D">
            <w:pPr>
              <w:rPr>
                <w:rFonts w:ascii="Times New Roman" w:eastAsia="Times New Roman" w:hAnsi="Times New Roman" w:cs="Times New Roman"/>
                <w:b w:val="0"/>
                <w:color w:val="000000"/>
                <w:sz w:val="20"/>
                <w:szCs w:val="20"/>
              </w:rPr>
            </w:pPr>
            <w:r w:rsidRPr="003149F4">
              <w:rPr>
                <w:rFonts w:ascii="Times New Roman" w:eastAsia="Times New Roman" w:hAnsi="Times New Roman" w:cs="Times New Roman"/>
                <w:b w:val="0"/>
                <w:color w:val="000000"/>
                <w:sz w:val="20"/>
                <w:szCs w:val="20"/>
              </w:rPr>
              <w:t>Роялти</w:t>
            </w:r>
          </w:p>
        </w:tc>
        <w:tc>
          <w:tcPr>
            <w:tcW w:w="889"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93"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10"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58"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865,2</w:t>
            </w:r>
          </w:p>
        </w:tc>
        <w:tc>
          <w:tcPr>
            <w:tcW w:w="870"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768,2</w:t>
            </w:r>
          </w:p>
        </w:tc>
        <w:tc>
          <w:tcPr>
            <w:tcW w:w="964"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43"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66"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585,5</w:t>
            </w:r>
          </w:p>
        </w:tc>
        <w:tc>
          <w:tcPr>
            <w:tcW w:w="1134"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44E5D" w:rsidRPr="003149F4" w:rsidTr="00A24C3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87" w:type="dxa"/>
            <w:noWrap/>
            <w:hideMark/>
          </w:tcPr>
          <w:p w:rsidR="00A44E5D" w:rsidRPr="003149F4" w:rsidRDefault="00A44E5D" w:rsidP="00A44E5D">
            <w:pPr>
              <w:rPr>
                <w:rFonts w:ascii="Times New Roman" w:eastAsia="Times New Roman" w:hAnsi="Times New Roman" w:cs="Times New Roman"/>
                <w:b w:val="0"/>
                <w:color w:val="000000"/>
                <w:sz w:val="20"/>
                <w:szCs w:val="20"/>
              </w:rPr>
            </w:pPr>
            <w:r w:rsidRPr="003149F4">
              <w:rPr>
                <w:rFonts w:ascii="Times New Roman" w:eastAsia="Times New Roman" w:hAnsi="Times New Roman" w:cs="Times New Roman"/>
                <w:b w:val="0"/>
                <w:color w:val="000000"/>
                <w:sz w:val="20"/>
                <w:szCs w:val="20"/>
              </w:rPr>
              <w:t>Сборы</w:t>
            </w:r>
          </w:p>
        </w:tc>
        <w:tc>
          <w:tcPr>
            <w:tcW w:w="889"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0,4</w:t>
            </w:r>
          </w:p>
        </w:tc>
        <w:tc>
          <w:tcPr>
            <w:tcW w:w="993"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10"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58"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318</w:t>
            </w:r>
          </w:p>
        </w:tc>
        <w:tc>
          <w:tcPr>
            <w:tcW w:w="870"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16,5</w:t>
            </w:r>
          </w:p>
        </w:tc>
        <w:tc>
          <w:tcPr>
            <w:tcW w:w="964"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360</w:t>
            </w:r>
          </w:p>
        </w:tc>
        <w:tc>
          <w:tcPr>
            <w:tcW w:w="1143"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648,8</w:t>
            </w:r>
          </w:p>
        </w:tc>
        <w:tc>
          <w:tcPr>
            <w:tcW w:w="766"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20,4</w:t>
            </w:r>
          </w:p>
        </w:tc>
        <w:tc>
          <w:tcPr>
            <w:tcW w:w="1134"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11,3</w:t>
            </w:r>
          </w:p>
        </w:tc>
      </w:tr>
      <w:tr w:rsidR="00A44E5D" w:rsidRPr="003149F4" w:rsidTr="00A24C32">
        <w:trPr>
          <w:trHeight w:val="264"/>
        </w:trPr>
        <w:tc>
          <w:tcPr>
            <w:cnfStyle w:val="001000000000" w:firstRow="0" w:lastRow="0" w:firstColumn="1" w:lastColumn="0" w:oddVBand="0" w:evenVBand="0" w:oddHBand="0" w:evenHBand="0" w:firstRowFirstColumn="0" w:firstRowLastColumn="0" w:lastRowFirstColumn="0" w:lastRowLastColumn="0"/>
            <w:tcW w:w="1487" w:type="dxa"/>
            <w:noWrap/>
            <w:hideMark/>
          </w:tcPr>
          <w:p w:rsidR="00A44E5D" w:rsidRPr="003149F4" w:rsidRDefault="00A44E5D" w:rsidP="00A44E5D">
            <w:pPr>
              <w:rPr>
                <w:rFonts w:ascii="Times New Roman" w:eastAsia="Times New Roman" w:hAnsi="Times New Roman" w:cs="Times New Roman"/>
                <w:b w:val="0"/>
                <w:color w:val="000000"/>
                <w:sz w:val="20"/>
                <w:szCs w:val="20"/>
              </w:rPr>
            </w:pPr>
            <w:r w:rsidRPr="003149F4">
              <w:rPr>
                <w:rFonts w:ascii="Times New Roman" w:eastAsia="Times New Roman" w:hAnsi="Times New Roman" w:cs="Times New Roman"/>
                <w:b w:val="0"/>
                <w:color w:val="000000"/>
                <w:sz w:val="20"/>
                <w:szCs w:val="20"/>
              </w:rPr>
              <w:t>Бонусы</w:t>
            </w:r>
          </w:p>
        </w:tc>
        <w:tc>
          <w:tcPr>
            <w:tcW w:w="889"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93"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10"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58"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70"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64"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43"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66"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75,7</w:t>
            </w:r>
          </w:p>
        </w:tc>
        <w:tc>
          <w:tcPr>
            <w:tcW w:w="1134"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A44E5D" w:rsidRPr="003149F4" w:rsidTr="00A24C3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87" w:type="dxa"/>
            <w:noWrap/>
            <w:hideMark/>
          </w:tcPr>
          <w:p w:rsidR="00A44E5D" w:rsidRPr="003149F4" w:rsidRDefault="00A44E5D" w:rsidP="00A44E5D">
            <w:pPr>
              <w:rPr>
                <w:rFonts w:ascii="Times New Roman" w:eastAsia="Times New Roman" w:hAnsi="Times New Roman" w:cs="Times New Roman"/>
                <w:b w:val="0"/>
                <w:color w:val="000000"/>
                <w:sz w:val="20"/>
                <w:szCs w:val="20"/>
              </w:rPr>
            </w:pPr>
            <w:r w:rsidRPr="003149F4">
              <w:rPr>
                <w:rFonts w:ascii="Times New Roman" w:eastAsia="Times New Roman" w:hAnsi="Times New Roman" w:cs="Times New Roman"/>
                <w:b w:val="0"/>
                <w:color w:val="000000"/>
                <w:sz w:val="20"/>
                <w:szCs w:val="20"/>
              </w:rPr>
              <w:t>СРП</w:t>
            </w:r>
          </w:p>
        </w:tc>
        <w:tc>
          <w:tcPr>
            <w:tcW w:w="889"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3524,2</w:t>
            </w:r>
          </w:p>
        </w:tc>
        <w:tc>
          <w:tcPr>
            <w:tcW w:w="993"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18080,6</w:t>
            </w:r>
          </w:p>
        </w:tc>
        <w:tc>
          <w:tcPr>
            <w:tcW w:w="1010"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8777,6</w:t>
            </w:r>
          </w:p>
        </w:tc>
        <w:tc>
          <w:tcPr>
            <w:tcW w:w="1058"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70"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64"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1873,4</w:t>
            </w:r>
          </w:p>
        </w:tc>
        <w:tc>
          <w:tcPr>
            <w:tcW w:w="1143"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66"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44E5D" w:rsidRPr="003149F4" w:rsidTr="00A24C32">
        <w:trPr>
          <w:trHeight w:val="264"/>
        </w:trPr>
        <w:tc>
          <w:tcPr>
            <w:cnfStyle w:val="001000000000" w:firstRow="0" w:lastRow="0" w:firstColumn="1" w:lastColumn="0" w:oddVBand="0" w:evenVBand="0" w:oddHBand="0" w:evenHBand="0" w:firstRowFirstColumn="0" w:firstRowLastColumn="0" w:lastRowFirstColumn="0" w:lastRowLastColumn="0"/>
            <w:tcW w:w="1487" w:type="dxa"/>
            <w:noWrap/>
            <w:hideMark/>
          </w:tcPr>
          <w:p w:rsidR="00A44E5D" w:rsidRPr="003149F4" w:rsidRDefault="00A44E5D" w:rsidP="00A44E5D">
            <w:pPr>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Всего отчислений</w:t>
            </w:r>
          </w:p>
        </w:tc>
        <w:tc>
          <w:tcPr>
            <w:tcW w:w="889"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3149F4">
              <w:rPr>
                <w:rFonts w:ascii="Times New Roman" w:eastAsia="Times New Roman" w:hAnsi="Times New Roman" w:cs="Times New Roman"/>
                <w:b/>
                <w:color w:val="000000"/>
                <w:sz w:val="20"/>
                <w:szCs w:val="20"/>
              </w:rPr>
              <w:t>5092,8</w:t>
            </w:r>
          </w:p>
        </w:tc>
        <w:tc>
          <w:tcPr>
            <w:tcW w:w="993"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3149F4">
              <w:rPr>
                <w:rFonts w:ascii="Times New Roman" w:eastAsia="Times New Roman" w:hAnsi="Times New Roman" w:cs="Times New Roman"/>
                <w:b/>
                <w:color w:val="000000"/>
                <w:sz w:val="20"/>
                <w:szCs w:val="20"/>
              </w:rPr>
              <w:t>22951,5</w:t>
            </w:r>
          </w:p>
        </w:tc>
        <w:tc>
          <w:tcPr>
            <w:tcW w:w="1010"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3149F4">
              <w:rPr>
                <w:rFonts w:ascii="Times New Roman" w:eastAsia="Times New Roman" w:hAnsi="Times New Roman" w:cs="Times New Roman"/>
                <w:b/>
                <w:color w:val="000000"/>
                <w:sz w:val="20"/>
                <w:szCs w:val="20"/>
              </w:rPr>
              <w:t>10066,2</w:t>
            </w:r>
          </w:p>
        </w:tc>
        <w:tc>
          <w:tcPr>
            <w:tcW w:w="1058"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3149F4">
              <w:rPr>
                <w:rFonts w:ascii="Times New Roman" w:eastAsia="Times New Roman" w:hAnsi="Times New Roman" w:cs="Times New Roman"/>
                <w:b/>
                <w:color w:val="000000"/>
                <w:sz w:val="20"/>
                <w:szCs w:val="20"/>
              </w:rPr>
              <w:t>1233,1</w:t>
            </w:r>
          </w:p>
        </w:tc>
        <w:tc>
          <w:tcPr>
            <w:tcW w:w="870"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3149F4">
              <w:rPr>
                <w:rFonts w:ascii="Times New Roman" w:eastAsia="Times New Roman" w:hAnsi="Times New Roman" w:cs="Times New Roman"/>
                <w:b/>
                <w:color w:val="000000"/>
                <w:sz w:val="20"/>
                <w:szCs w:val="20"/>
              </w:rPr>
              <w:t>786,7</w:t>
            </w:r>
          </w:p>
        </w:tc>
        <w:tc>
          <w:tcPr>
            <w:tcW w:w="964"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3149F4">
              <w:rPr>
                <w:rFonts w:ascii="Times New Roman" w:eastAsia="Times New Roman" w:hAnsi="Times New Roman" w:cs="Times New Roman"/>
                <w:b/>
                <w:color w:val="000000"/>
                <w:sz w:val="20"/>
                <w:szCs w:val="20"/>
              </w:rPr>
              <w:t>5181,4</w:t>
            </w:r>
          </w:p>
        </w:tc>
        <w:tc>
          <w:tcPr>
            <w:tcW w:w="1143"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3149F4">
              <w:rPr>
                <w:rFonts w:ascii="Times New Roman" w:eastAsia="Times New Roman" w:hAnsi="Times New Roman" w:cs="Times New Roman"/>
                <w:b/>
                <w:color w:val="000000"/>
                <w:sz w:val="20"/>
                <w:szCs w:val="20"/>
              </w:rPr>
              <w:t>90328,5</w:t>
            </w:r>
          </w:p>
        </w:tc>
        <w:tc>
          <w:tcPr>
            <w:tcW w:w="766"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3149F4">
              <w:rPr>
                <w:rFonts w:ascii="Times New Roman" w:eastAsia="Times New Roman" w:hAnsi="Times New Roman" w:cs="Times New Roman"/>
                <w:b/>
                <w:color w:val="000000"/>
                <w:sz w:val="20"/>
                <w:szCs w:val="20"/>
              </w:rPr>
              <w:t>957,2</w:t>
            </w:r>
          </w:p>
        </w:tc>
        <w:tc>
          <w:tcPr>
            <w:tcW w:w="1134"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3149F4">
              <w:rPr>
                <w:rFonts w:ascii="Times New Roman" w:eastAsia="Times New Roman" w:hAnsi="Times New Roman" w:cs="Times New Roman"/>
                <w:b/>
                <w:color w:val="000000"/>
                <w:sz w:val="20"/>
                <w:szCs w:val="20"/>
              </w:rPr>
              <w:t>98,4</w:t>
            </w:r>
          </w:p>
        </w:tc>
      </w:tr>
      <w:tr w:rsidR="00A44E5D" w:rsidRPr="003149F4" w:rsidTr="00A24C3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87" w:type="dxa"/>
            <w:noWrap/>
            <w:hideMark/>
          </w:tcPr>
          <w:p w:rsidR="00A44E5D" w:rsidRPr="003149F4" w:rsidRDefault="00A44E5D" w:rsidP="00A44E5D">
            <w:pPr>
              <w:rPr>
                <w:rFonts w:ascii="Times New Roman" w:eastAsia="Times New Roman" w:hAnsi="Times New Roman" w:cs="Times New Roman"/>
                <w:b w:val="0"/>
                <w:color w:val="000000"/>
                <w:sz w:val="20"/>
                <w:szCs w:val="20"/>
              </w:rPr>
            </w:pPr>
            <w:r w:rsidRPr="003149F4">
              <w:rPr>
                <w:rFonts w:ascii="Times New Roman" w:eastAsia="Times New Roman" w:hAnsi="Times New Roman" w:cs="Times New Roman"/>
                <w:b w:val="0"/>
                <w:color w:val="000000"/>
                <w:sz w:val="20"/>
                <w:szCs w:val="20"/>
              </w:rPr>
              <w:t>Выручка</w:t>
            </w:r>
            <w:r>
              <w:rPr>
                <w:rFonts w:ascii="Times New Roman" w:eastAsia="Times New Roman" w:hAnsi="Times New Roman" w:cs="Times New Roman"/>
                <w:b w:val="0"/>
                <w:color w:val="000000"/>
                <w:sz w:val="20"/>
                <w:szCs w:val="20"/>
              </w:rPr>
              <w:t xml:space="preserve"> на национальном рынке</w:t>
            </w:r>
          </w:p>
        </w:tc>
        <w:tc>
          <w:tcPr>
            <w:tcW w:w="889"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3922</w:t>
            </w:r>
          </w:p>
        </w:tc>
        <w:tc>
          <w:tcPr>
            <w:tcW w:w="993"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25388</w:t>
            </w:r>
          </w:p>
        </w:tc>
        <w:tc>
          <w:tcPr>
            <w:tcW w:w="1010"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8684</w:t>
            </w:r>
          </w:p>
        </w:tc>
        <w:tc>
          <w:tcPr>
            <w:tcW w:w="1058"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8283</w:t>
            </w:r>
          </w:p>
        </w:tc>
        <w:tc>
          <w:tcPr>
            <w:tcW w:w="870"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7404</w:t>
            </w:r>
          </w:p>
        </w:tc>
        <w:tc>
          <w:tcPr>
            <w:tcW w:w="964"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7934</w:t>
            </w:r>
          </w:p>
        </w:tc>
        <w:tc>
          <w:tcPr>
            <w:tcW w:w="1143"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499150</w:t>
            </w:r>
          </w:p>
        </w:tc>
        <w:tc>
          <w:tcPr>
            <w:tcW w:w="766"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98883</w:t>
            </w:r>
          </w:p>
        </w:tc>
        <w:tc>
          <w:tcPr>
            <w:tcW w:w="1134"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1328</w:t>
            </w:r>
          </w:p>
        </w:tc>
      </w:tr>
      <w:tr w:rsidR="00A44E5D" w:rsidRPr="003149F4" w:rsidTr="00A24C32">
        <w:trPr>
          <w:trHeight w:val="264"/>
        </w:trPr>
        <w:tc>
          <w:tcPr>
            <w:cnfStyle w:val="001000000000" w:firstRow="0" w:lastRow="0" w:firstColumn="1" w:lastColumn="0" w:oddVBand="0" w:evenVBand="0" w:oddHBand="0" w:evenHBand="0" w:firstRowFirstColumn="0" w:firstRowLastColumn="0" w:lastRowFirstColumn="0" w:lastRowLastColumn="0"/>
            <w:tcW w:w="1487" w:type="dxa"/>
            <w:noWrap/>
            <w:hideMark/>
          </w:tcPr>
          <w:p w:rsidR="00A44E5D" w:rsidRPr="003149F4" w:rsidRDefault="00A44E5D" w:rsidP="00A44E5D">
            <w:pPr>
              <w:rPr>
                <w:rFonts w:ascii="Times New Roman" w:eastAsia="Times New Roman" w:hAnsi="Times New Roman" w:cs="Times New Roman"/>
                <w:b w:val="0"/>
                <w:color w:val="000000"/>
                <w:sz w:val="20"/>
                <w:szCs w:val="20"/>
              </w:rPr>
            </w:pPr>
            <w:r w:rsidRPr="003149F4">
              <w:rPr>
                <w:rFonts w:ascii="Times New Roman" w:eastAsia="Times New Roman" w:hAnsi="Times New Roman" w:cs="Times New Roman"/>
                <w:b w:val="0"/>
                <w:color w:val="000000"/>
                <w:sz w:val="20"/>
                <w:szCs w:val="20"/>
              </w:rPr>
              <w:t>Отношение отчислений к выручке, %</w:t>
            </w:r>
          </w:p>
        </w:tc>
        <w:tc>
          <w:tcPr>
            <w:tcW w:w="889"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130%</w:t>
            </w:r>
          </w:p>
        </w:tc>
        <w:tc>
          <w:tcPr>
            <w:tcW w:w="993"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90%</w:t>
            </w:r>
          </w:p>
        </w:tc>
        <w:tc>
          <w:tcPr>
            <w:tcW w:w="1010"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116%</w:t>
            </w:r>
          </w:p>
        </w:tc>
        <w:tc>
          <w:tcPr>
            <w:tcW w:w="1058"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15%</w:t>
            </w:r>
          </w:p>
        </w:tc>
        <w:tc>
          <w:tcPr>
            <w:tcW w:w="870"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11%</w:t>
            </w:r>
          </w:p>
        </w:tc>
        <w:tc>
          <w:tcPr>
            <w:tcW w:w="964"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65%</w:t>
            </w:r>
          </w:p>
        </w:tc>
        <w:tc>
          <w:tcPr>
            <w:tcW w:w="1143"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18%</w:t>
            </w:r>
          </w:p>
        </w:tc>
        <w:tc>
          <w:tcPr>
            <w:tcW w:w="766"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1%</w:t>
            </w:r>
          </w:p>
        </w:tc>
        <w:tc>
          <w:tcPr>
            <w:tcW w:w="1134" w:type="dxa"/>
            <w:noWrap/>
            <w:vAlign w:val="center"/>
            <w:hideMark/>
          </w:tcPr>
          <w:p w:rsidR="00A44E5D" w:rsidRPr="003149F4" w:rsidRDefault="00A44E5D" w:rsidP="00A44E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7%</w:t>
            </w:r>
          </w:p>
        </w:tc>
      </w:tr>
      <w:tr w:rsidR="00A44E5D" w:rsidRPr="003149F4" w:rsidTr="00A24C3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87" w:type="dxa"/>
            <w:noWrap/>
            <w:hideMark/>
          </w:tcPr>
          <w:p w:rsidR="00A44E5D" w:rsidRPr="003149F4" w:rsidRDefault="00A44E5D" w:rsidP="00A44E5D">
            <w:pPr>
              <w:rPr>
                <w:rFonts w:ascii="Times New Roman" w:eastAsia="Times New Roman" w:hAnsi="Times New Roman" w:cs="Times New Roman"/>
                <w:b w:val="0"/>
                <w:color w:val="000000"/>
                <w:sz w:val="20"/>
                <w:szCs w:val="20"/>
              </w:rPr>
            </w:pPr>
            <w:r w:rsidRPr="003149F4">
              <w:rPr>
                <w:rFonts w:ascii="Times New Roman" w:eastAsia="Times New Roman" w:hAnsi="Times New Roman" w:cs="Times New Roman"/>
                <w:b w:val="0"/>
                <w:color w:val="000000"/>
                <w:sz w:val="20"/>
                <w:szCs w:val="20"/>
              </w:rPr>
              <w:t>Отношение отчислений к выручке, % (без СРП)</w:t>
            </w:r>
          </w:p>
        </w:tc>
        <w:tc>
          <w:tcPr>
            <w:tcW w:w="889"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40%</w:t>
            </w:r>
          </w:p>
        </w:tc>
        <w:tc>
          <w:tcPr>
            <w:tcW w:w="993"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19%</w:t>
            </w:r>
          </w:p>
        </w:tc>
        <w:tc>
          <w:tcPr>
            <w:tcW w:w="1010"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15%</w:t>
            </w:r>
          </w:p>
        </w:tc>
        <w:tc>
          <w:tcPr>
            <w:tcW w:w="1058"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15%</w:t>
            </w:r>
          </w:p>
        </w:tc>
        <w:tc>
          <w:tcPr>
            <w:tcW w:w="870"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11%</w:t>
            </w:r>
          </w:p>
        </w:tc>
        <w:tc>
          <w:tcPr>
            <w:tcW w:w="964"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42%</w:t>
            </w:r>
          </w:p>
        </w:tc>
        <w:tc>
          <w:tcPr>
            <w:tcW w:w="1143"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18%</w:t>
            </w:r>
          </w:p>
        </w:tc>
        <w:tc>
          <w:tcPr>
            <w:tcW w:w="766"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1%</w:t>
            </w:r>
          </w:p>
        </w:tc>
        <w:tc>
          <w:tcPr>
            <w:tcW w:w="1134" w:type="dxa"/>
            <w:noWrap/>
            <w:vAlign w:val="center"/>
            <w:hideMark/>
          </w:tcPr>
          <w:p w:rsidR="00A44E5D" w:rsidRPr="003149F4" w:rsidRDefault="00A44E5D" w:rsidP="00A44E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149F4">
              <w:rPr>
                <w:rFonts w:ascii="Times New Roman" w:eastAsia="Times New Roman" w:hAnsi="Times New Roman" w:cs="Times New Roman"/>
                <w:color w:val="000000"/>
                <w:sz w:val="20"/>
                <w:szCs w:val="20"/>
              </w:rPr>
              <w:t>7%</w:t>
            </w:r>
          </w:p>
        </w:tc>
      </w:tr>
    </w:tbl>
    <w:p w:rsidR="00A44E5D" w:rsidRPr="00A24C32" w:rsidRDefault="00A44E5D" w:rsidP="00A24C32">
      <w:pPr>
        <w:spacing w:after="120"/>
        <w:ind w:firstLine="709"/>
        <w:jc w:val="both"/>
        <w:rPr>
          <w:rFonts w:ascii="Times New Roman" w:hAnsi="Times New Roman" w:cs="Times New Roman"/>
          <w:i/>
          <w:sz w:val="20"/>
          <w:szCs w:val="24"/>
        </w:rPr>
      </w:pPr>
      <w:r w:rsidRPr="00BB3EF1">
        <w:rPr>
          <w:rFonts w:ascii="Times New Roman" w:hAnsi="Times New Roman" w:cs="Times New Roman"/>
          <w:i/>
          <w:sz w:val="20"/>
          <w:szCs w:val="24"/>
        </w:rPr>
        <w:t>Источник</w:t>
      </w:r>
      <w:r w:rsidRPr="00FA7817">
        <w:rPr>
          <w:rFonts w:ascii="Times New Roman" w:hAnsi="Times New Roman" w:cs="Times New Roman"/>
          <w:i/>
          <w:sz w:val="20"/>
          <w:szCs w:val="24"/>
        </w:rPr>
        <w:t xml:space="preserve">: </w:t>
      </w:r>
      <w:r>
        <w:rPr>
          <w:rFonts w:ascii="Times New Roman" w:hAnsi="Times New Roman" w:cs="Times New Roman"/>
          <w:i/>
          <w:sz w:val="20"/>
          <w:szCs w:val="24"/>
        </w:rPr>
        <w:t xml:space="preserve">составлено по данным отчетности </w:t>
      </w:r>
      <w:r>
        <w:rPr>
          <w:rFonts w:ascii="Times New Roman" w:hAnsi="Times New Roman" w:cs="Times New Roman"/>
          <w:i/>
          <w:sz w:val="20"/>
          <w:szCs w:val="24"/>
          <w:lang w:val="en-US"/>
        </w:rPr>
        <w:t>Statoil</w:t>
      </w:r>
      <w:r w:rsidR="00A24C32">
        <w:rPr>
          <w:rFonts w:ascii="Times New Roman" w:hAnsi="Times New Roman" w:cs="Times New Roman"/>
          <w:i/>
          <w:sz w:val="20"/>
          <w:szCs w:val="24"/>
        </w:rPr>
        <w:t xml:space="preserve"> 2014</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lastRenderedPageBreak/>
        <w:t>Таким образом, рентные платежи при добыче минерально-сырьевых ресурсов, как правило, определяются дополнительным доходом с месторождения после того, как все производственные издержки, включая «нормальную» норму прибыли с капиталовложений, возмещены. Извлечение ренты преимущественно осуществляется на этапе добычи минеральных ресурсов, однако для того, чтобы эффективно управлять запасами и стимулировать компании к их скорейшему вовлечению в оборот, существуют различные механизмы изъятия ренты и до начала разработки месторождений.</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При этом в развитых добывающих странах, с низкой обеспеченностью запасами и диверсифицированной экономикой, налоговая система ориентирована на контроль и обложение финансового результата в рамках универсального корпоративного налогообложения, дополненного специфическими отраслевыми нюансами. Такая политика позволяет частично компенсировать высокую себестоимость и убывающую отдачу от местных месторождений, а также позволяет компаниям проводить зарубежную экспансию.</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Важную роль играет амортизационная политика, предоставляющая нефтегазовым компаниям не только ускоренно списать затраты на материальные (а в отдельных случаях и нематериальные) активы, но и списать несколько более затраченных сумм (</w:t>
      </w:r>
      <w:proofErr w:type="spellStart"/>
      <w:r w:rsidRPr="00D50C42">
        <w:rPr>
          <w:rFonts w:ascii="Times New Roman" w:hAnsi="Times New Roman" w:cs="Times New Roman"/>
          <w:sz w:val="26"/>
          <w:szCs w:val="26"/>
        </w:rPr>
        <w:t>аплифт</w:t>
      </w:r>
      <w:proofErr w:type="spellEnd"/>
      <w:r w:rsidRPr="00D50C42">
        <w:rPr>
          <w:rFonts w:ascii="Times New Roman" w:hAnsi="Times New Roman" w:cs="Times New Roman"/>
          <w:sz w:val="26"/>
          <w:szCs w:val="26"/>
        </w:rPr>
        <w:t>), тем самым, поощряя инвестиционную активность.</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На развивающихся рынках преобладают более типичные для сырьевого сектора рентные платежи, а также широко распространены соглашения о разделе продукции.</w:t>
      </w:r>
    </w:p>
    <w:p w:rsidR="00A44E5D" w:rsidRDefault="00A44E5D" w:rsidP="00A44E5D">
      <w:pPr>
        <w:spacing w:after="120"/>
        <w:ind w:firstLine="709"/>
        <w:jc w:val="both"/>
        <w:rPr>
          <w:rFonts w:ascii="Times New Roman" w:hAnsi="Times New Roman" w:cs="Times New Roman"/>
          <w:sz w:val="24"/>
          <w:szCs w:val="24"/>
        </w:rPr>
      </w:pPr>
    </w:p>
    <w:p w:rsidR="00A44E5D" w:rsidRPr="000D5777" w:rsidRDefault="00A44E5D" w:rsidP="00A44E5D">
      <w:pPr>
        <w:spacing w:after="120"/>
        <w:ind w:firstLine="709"/>
        <w:jc w:val="both"/>
        <w:rPr>
          <w:rFonts w:ascii="Times New Roman" w:hAnsi="Times New Roman" w:cs="Times New Roman"/>
          <w:b/>
          <w:i/>
          <w:noProof/>
          <w:sz w:val="20"/>
          <w:szCs w:val="24"/>
        </w:rPr>
      </w:pPr>
      <w:r w:rsidRPr="000D5777">
        <w:rPr>
          <w:rFonts w:ascii="Times New Roman" w:hAnsi="Times New Roman" w:cs="Times New Roman"/>
          <w:b/>
          <w:i/>
          <w:noProof/>
          <w:sz w:val="20"/>
          <w:szCs w:val="24"/>
        </w:rPr>
        <w:t>Основные виды налогов, платежей и сборов, формирующие систему налогообложения нефт</w:t>
      </w:r>
      <w:r>
        <w:rPr>
          <w:rFonts w:ascii="Times New Roman" w:hAnsi="Times New Roman" w:cs="Times New Roman"/>
          <w:b/>
          <w:i/>
          <w:noProof/>
          <w:sz w:val="20"/>
          <w:szCs w:val="24"/>
        </w:rPr>
        <w:t>егазового</w:t>
      </w:r>
      <w:r w:rsidRPr="000D5777">
        <w:rPr>
          <w:rFonts w:ascii="Times New Roman" w:hAnsi="Times New Roman" w:cs="Times New Roman"/>
          <w:b/>
          <w:i/>
          <w:noProof/>
          <w:sz w:val="20"/>
          <w:szCs w:val="24"/>
        </w:rPr>
        <w:t xml:space="preserve"> сектора</w:t>
      </w:r>
    </w:p>
    <w:p w:rsidR="00A44E5D" w:rsidRDefault="00A44E5D" w:rsidP="00A44E5D">
      <w:pPr>
        <w:spacing w:after="120"/>
        <w:jc w:val="both"/>
        <w:rPr>
          <w:rFonts w:ascii="Times New Roman" w:hAnsi="Times New Roman" w:cs="Times New Roman"/>
          <w:sz w:val="24"/>
          <w:szCs w:val="24"/>
        </w:rPr>
      </w:pPr>
      <w:r w:rsidRPr="00740BB4">
        <w:rPr>
          <w:noProof/>
          <w:lang w:eastAsia="ru-RU"/>
        </w:rPr>
        <w:drawing>
          <wp:inline distT="0" distB="0" distL="0" distR="0" wp14:anchorId="2FC65000" wp14:editId="65F7E484">
            <wp:extent cx="5940425" cy="2319487"/>
            <wp:effectExtent l="19050" t="0" r="3175"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email"/>
                    <a:srcRect/>
                    <a:stretch>
                      <a:fillRect/>
                    </a:stretch>
                  </pic:blipFill>
                  <pic:spPr bwMode="auto">
                    <a:xfrm>
                      <a:off x="0" y="0"/>
                      <a:ext cx="5940425" cy="2319487"/>
                    </a:xfrm>
                    <a:prstGeom prst="rect">
                      <a:avLst/>
                    </a:prstGeom>
                    <a:noFill/>
                    <a:ln w="9525">
                      <a:noFill/>
                      <a:miter lim="800000"/>
                      <a:headEnd/>
                      <a:tailEnd/>
                    </a:ln>
                  </pic:spPr>
                </pic:pic>
              </a:graphicData>
            </a:graphic>
          </wp:inline>
        </w:drawing>
      </w:r>
    </w:p>
    <w:p w:rsidR="00A44E5D" w:rsidRDefault="00A44E5D" w:rsidP="00A44E5D">
      <w:pPr>
        <w:ind w:firstLine="709"/>
        <w:jc w:val="both"/>
        <w:rPr>
          <w:rFonts w:ascii="Times New Roman" w:hAnsi="Times New Roman" w:cs="Times New Roman"/>
          <w:sz w:val="28"/>
          <w:szCs w:val="28"/>
        </w:rPr>
      </w:pPr>
    </w:p>
    <w:p w:rsidR="00A24C32" w:rsidRDefault="00A24C32" w:rsidP="00A44E5D">
      <w:pPr>
        <w:ind w:firstLine="709"/>
        <w:jc w:val="both"/>
        <w:rPr>
          <w:rFonts w:ascii="Times New Roman" w:hAnsi="Times New Roman" w:cs="Times New Roman"/>
          <w:sz w:val="28"/>
          <w:szCs w:val="28"/>
        </w:rPr>
      </w:pPr>
    </w:p>
    <w:p w:rsidR="00A24C32" w:rsidRDefault="00A24C32" w:rsidP="00A44E5D">
      <w:pPr>
        <w:ind w:firstLine="709"/>
        <w:jc w:val="both"/>
        <w:rPr>
          <w:rFonts w:ascii="Times New Roman" w:hAnsi="Times New Roman" w:cs="Times New Roman"/>
          <w:sz w:val="28"/>
          <w:szCs w:val="28"/>
        </w:rPr>
      </w:pPr>
    </w:p>
    <w:p w:rsidR="00A24C32" w:rsidRDefault="00A24C32" w:rsidP="00A44E5D">
      <w:pPr>
        <w:ind w:firstLine="709"/>
        <w:jc w:val="both"/>
        <w:rPr>
          <w:rFonts w:ascii="Times New Roman" w:hAnsi="Times New Roman" w:cs="Times New Roman"/>
          <w:sz w:val="28"/>
          <w:szCs w:val="28"/>
        </w:rPr>
      </w:pPr>
    </w:p>
    <w:p w:rsidR="00A24C32" w:rsidRDefault="00A24C32" w:rsidP="000F4260">
      <w:pPr>
        <w:jc w:val="both"/>
        <w:rPr>
          <w:rFonts w:ascii="Times New Roman" w:hAnsi="Times New Roman" w:cs="Times New Roman"/>
          <w:sz w:val="28"/>
          <w:szCs w:val="28"/>
        </w:rPr>
      </w:pPr>
    </w:p>
    <w:p w:rsidR="00A44E5D" w:rsidRDefault="00A44E5D" w:rsidP="00A24C32">
      <w:pPr>
        <w:pStyle w:val="1"/>
        <w:rPr>
          <w:rFonts w:ascii="Times New Roman" w:hAnsi="Times New Roman" w:cs="Times New Roman"/>
          <w:color w:val="1F497D" w:themeColor="text2"/>
        </w:rPr>
      </w:pPr>
      <w:bookmarkStart w:id="198" w:name="_Toc431474323"/>
      <w:r w:rsidRPr="00A24C32">
        <w:rPr>
          <w:rFonts w:ascii="Times New Roman" w:hAnsi="Times New Roman" w:cs="Times New Roman"/>
          <w:color w:val="1F497D" w:themeColor="text2"/>
        </w:rPr>
        <w:lastRenderedPageBreak/>
        <w:t>Российская практика: налоговый маневр</w:t>
      </w:r>
      <w:bookmarkEnd w:id="198"/>
    </w:p>
    <w:p w:rsidR="00A24C32" w:rsidRPr="00A24C32" w:rsidRDefault="00A24C32" w:rsidP="00A24C32"/>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Нефтедобыча в России устойчиво растет, приближаясь к советским рекордам. По итогам 2014 года добыча достигала почти 11 млн. </w:t>
      </w:r>
      <w:proofErr w:type="spellStart"/>
      <w:r w:rsidRPr="00D50C42">
        <w:rPr>
          <w:rFonts w:ascii="Times New Roman" w:hAnsi="Times New Roman" w:cs="Times New Roman"/>
          <w:sz w:val="26"/>
          <w:szCs w:val="26"/>
        </w:rPr>
        <w:t>барр</w:t>
      </w:r>
      <w:proofErr w:type="spellEnd"/>
      <w:r w:rsidRPr="00D50C42">
        <w:rPr>
          <w:rFonts w:ascii="Times New Roman" w:hAnsi="Times New Roman" w:cs="Times New Roman"/>
          <w:sz w:val="26"/>
          <w:szCs w:val="26"/>
        </w:rPr>
        <w:t xml:space="preserve">. в сутки, незначительно уступая лишь США и Саудовской Аравии. Увеличение добычи происходило за счет роста извлечения нефти из зрелых месторождений, ввода новых месторождений в 2000-е годы, а также отчасти благодаря настройке налоговой </w:t>
      </w:r>
      <w:proofErr w:type="gramStart"/>
      <w:r w:rsidRPr="00D50C42">
        <w:rPr>
          <w:rFonts w:ascii="Times New Roman" w:hAnsi="Times New Roman" w:cs="Times New Roman"/>
          <w:sz w:val="26"/>
          <w:szCs w:val="26"/>
        </w:rPr>
        <w:t>системы</w:t>
      </w:r>
      <w:proofErr w:type="gramEnd"/>
      <w:r w:rsidRPr="00D50C42">
        <w:rPr>
          <w:rFonts w:ascii="Times New Roman" w:hAnsi="Times New Roman" w:cs="Times New Roman"/>
          <w:sz w:val="26"/>
          <w:szCs w:val="26"/>
        </w:rPr>
        <w:t xml:space="preserve"> в условиях изменяющей отраслевой и финансовой конъюнктуры.</w:t>
      </w:r>
    </w:p>
    <w:p w:rsidR="00A44E5D" w:rsidRPr="0044169E" w:rsidRDefault="00A44E5D" w:rsidP="00A44E5D">
      <w:pPr>
        <w:spacing w:after="120"/>
        <w:ind w:firstLine="709"/>
        <w:jc w:val="both"/>
        <w:rPr>
          <w:rFonts w:ascii="Times New Roman" w:hAnsi="Times New Roman" w:cs="Times New Roman"/>
          <w:sz w:val="24"/>
          <w:szCs w:val="24"/>
        </w:rPr>
      </w:pPr>
    </w:p>
    <w:p w:rsidR="00A44E5D" w:rsidRPr="00B96EBC" w:rsidRDefault="00A44E5D" w:rsidP="00A44E5D">
      <w:pPr>
        <w:spacing w:after="120"/>
        <w:ind w:firstLine="709"/>
        <w:jc w:val="both"/>
        <w:rPr>
          <w:rFonts w:ascii="Times New Roman" w:hAnsi="Times New Roman" w:cs="Times New Roman"/>
          <w:b/>
          <w:i/>
          <w:sz w:val="20"/>
          <w:szCs w:val="24"/>
        </w:rPr>
      </w:pPr>
      <w:r w:rsidRPr="00B96EBC">
        <w:rPr>
          <w:rFonts w:ascii="Times New Roman" w:hAnsi="Times New Roman" w:cs="Times New Roman"/>
          <w:b/>
          <w:i/>
          <w:sz w:val="20"/>
          <w:szCs w:val="24"/>
        </w:rPr>
        <w:t>Динамика нефтедобывающего сектора России</w:t>
      </w:r>
    </w:p>
    <w:p w:rsidR="00A44E5D" w:rsidRDefault="00A44E5D" w:rsidP="00A44E5D">
      <w:pPr>
        <w:spacing w:after="120"/>
        <w:jc w:val="both"/>
        <w:rPr>
          <w:rFonts w:ascii="Times New Roman" w:hAnsi="Times New Roman" w:cs="Times New Roman"/>
          <w:sz w:val="24"/>
          <w:szCs w:val="24"/>
        </w:rPr>
      </w:pPr>
      <w:r w:rsidRPr="00270854">
        <w:rPr>
          <w:rFonts w:ascii="Times New Roman" w:hAnsi="Times New Roman" w:cs="Times New Roman"/>
          <w:noProof/>
          <w:sz w:val="24"/>
          <w:szCs w:val="24"/>
          <w:lang w:eastAsia="ru-RU"/>
        </w:rPr>
        <w:drawing>
          <wp:inline distT="0" distB="0" distL="0" distR="0" wp14:anchorId="720697F5" wp14:editId="02008373">
            <wp:extent cx="5940425" cy="2086414"/>
            <wp:effectExtent l="0" t="0" r="3175" b="0"/>
            <wp:docPr id="76"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44E5D" w:rsidRPr="00B96EBC" w:rsidRDefault="00A44E5D" w:rsidP="00A44E5D">
      <w:pPr>
        <w:spacing w:after="120"/>
        <w:ind w:firstLine="709"/>
        <w:jc w:val="both"/>
        <w:rPr>
          <w:rFonts w:ascii="Times New Roman" w:hAnsi="Times New Roman" w:cs="Times New Roman"/>
          <w:i/>
          <w:sz w:val="20"/>
          <w:szCs w:val="24"/>
          <w:lang w:val="en-US"/>
        </w:rPr>
      </w:pPr>
      <w:r w:rsidRPr="00B96EBC">
        <w:rPr>
          <w:rFonts w:ascii="Times New Roman" w:hAnsi="Times New Roman" w:cs="Times New Roman"/>
          <w:i/>
          <w:sz w:val="20"/>
          <w:szCs w:val="24"/>
        </w:rPr>
        <w:t>Источник</w:t>
      </w:r>
      <w:r w:rsidRPr="00B96EBC">
        <w:rPr>
          <w:rFonts w:ascii="Times New Roman" w:hAnsi="Times New Roman" w:cs="Times New Roman"/>
          <w:i/>
          <w:sz w:val="20"/>
          <w:szCs w:val="24"/>
          <w:lang w:val="en-US"/>
        </w:rPr>
        <w:t>: BP Statistical Review of World Energy June 2015</w:t>
      </w:r>
    </w:p>
    <w:p w:rsidR="00A44E5D" w:rsidRPr="00D50C42" w:rsidRDefault="00A44E5D" w:rsidP="00A24C32">
      <w:pPr>
        <w:spacing w:after="120" w:line="240" w:lineRule="auto"/>
        <w:ind w:firstLine="709"/>
        <w:jc w:val="both"/>
        <w:rPr>
          <w:rFonts w:ascii="Times New Roman" w:hAnsi="Times New Roman" w:cs="Times New Roman"/>
          <w:sz w:val="26"/>
          <w:szCs w:val="26"/>
          <w:lang w:val="en-US"/>
        </w:rPr>
      </w:pP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Российские компании, занимающиеся добычей нефти и газа, уплачивают следующие налоги:</w:t>
      </w:r>
    </w:p>
    <w:p w:rsidR="00A44E5D" w:rsidRPr="00A24C32" w:rsidRDefault="00A44E5D" w:rsidP="00A24C32">
      <w:pPr>
        <w:pStyle w:val="a5"/>
        <w:numPr>
          <w:ilvl w:val="0"/>
          <w:numId w:val="9"/>
        </w:numPr>
        <w:spacing w:after="120"/>
        <w:jc w:val="both"/>
        <w:rPr>
          <w:rFonts w:ascii="Times New Roman" w:hAnsi="Times New Roman" w:cs="Times New Roman"/>
          <w:sz w:val="26"/>
          <w:szCs w:val="26"/>
        </w:rPr>
      </w:pPr>
      <w:r w:rsidRPr="00A24C32">
        <w:rPr>
          <w:rFonts w:ascii="Times New Roman" w:hAnsi="Times New Roman" w:cs="Times New Roman"/>
          <w:sz w:val="26"/>
          <w:szCs w:val="26"/>
        </w:rPr>
        <w:t>налог на прибыль по ставке 20% (льготы могут применять в размере 4% и 4,5% в ХМАО и ЯНАО);</w:t>
      </w:r>
    </w:p>
    <w:p w:rsidR="00A44E5D" w:rsidRPr="00A24C32" w:rsidRDefault="00A44E5D" w:rsidP="00A24C32">
      <w:pPr>
        <w:pStyle w:val="a5"/>
        <w:numPr>
          <w:ilvl w:val="0"/>
          <w:numId w:val="9"/>
        </w:numPr>
        <w:spacing w:after="120"/>
        <w:jc w:val="both"/>
        <w:rPr>
          <w:rFonts w:ascii="Times New Roman" w:hAnsi="Times New Roman" w:cs="Times New Roman"/>
          <w:sz w:val="26"/>
          <w:szCs w:val="26"/>
        </w:rPr>
      </w:pPr>
      <w:r w:rsidRPr="00A24C32">
        <w:rPr>
          <w:rFonts w:ascii="Times New Roman" w:hAnsi="Times New Roman" w:cs="Times New Roman"/>
          <w:sz w:val="26"/>
          <w:szCs w:val="26"/>
        </w:rPr>
        <w:t>налог на добавленную стоимость (НДС) по ставке 18%;</w:t>
      </w:r>
    </w:p>
    <w:p w:rsidR="00A44E5D" w:rsidRPr="00A24C32" w:rsidRDefault="00A44E5D" w:rsidP="00A24C32">
      <w:pPr>
        <w:pStyle w:val="a5"/>
        <w:numPr>
          <w:ilvl w:val="0"/>
          <w:numId w:val="9"/>
        </w:numPr>
        <w:spacing w:after="120"/>
        <w:jc w:val="both"/>
        <w:rPr>
          <w:rFonts w:ascii="Times New Roman" w:hAnsi="Times New Roman" w:cs="Times New Roman"/>
          <w:sz w:val="26"/>
          <w:szCs w:val="26"/>
        </w:rPr>
      </w:pPr>
      <w:r w:rsidRPr="00A24C32">
        <w:rPr>
          <w:rFonts w:ascii="Times New Roman" w:hAnsi="Times New Roman" w:cs="Times New Roman"/>
          <w:sz w:val="26"/>
          <w:szCs w:val="26"/>
        </w:rPr>
        <w:t>налог на добычу полезных ископаемых (НДПИ);</w:t>
      </w:r>
    </w:p>
    <w:p w:rsidR="00A44E5D" w:rsidRPr="00A24C32" w:rsidRDefault="00A44E5D" w:rsidP="00A24C32">
      <w:pPr>
        <w:pStyle w:val="a5"/>
        <w:numPr>
          <w:ilvl w:val="0"/>
          <w:numId w:val="9"/>
        </w:numPr>
        <w:spacing w:after="120"/>
        <w:jc w:val="both"/>
        <w:rPr>
          <w:rFonts w:ascii="Times New Roman" w:hAnsi="Times New Roman" w:cs="Times New Roman"/>
          <w:sz w:val="26"/>
          <w:szCs w:val="26"/>
        </w:rPr>
      </w:pPr>
      <w:r w:rsidRPr="00A24C32">
        <w:rPr>
          <w:rFonts w:ascii="Times New Roman" w:hAnsi="Times New Roman" w:cs="Times New Roman"/>
          <w:sz w:val="26"/>
          <w:szCs w:val="26"/>
        </w:rPr>
        <w:t>платежи за пользование недрами;</w:t>
      </w:r>
    </w:p>
    <w:p w:rsidR="00A44E5D" w:rsidRPr="00A24C32" w:rsidRDefault="00A44E5D" w:rsidP="00A24C32">
      <w:pPr>
        <w:pStyle w:val="a5"/>
        <w:numPr>
          <w:ilvl w:val="0"/>
          <w:numId w:val="9"/>
        </w:numPr>
        <w:spacing w:after="120"/>
        <w:jc w:val="both"/>
        <w:rPr>
          <w:rFonts w:ascii="Times New Roman" w:hAnsi="Times New Roman" w:cs="Times New Roman"/>
          <w:sz w:val="26"/>
          <w:szCs w:val="26"/>
        </w:rPr>
      </w:pPr>
      <w:r w:rsidRPr="00A24C32">
        <w:rPr>
          <w:rFonts w:ascii="Times New Roman" w:hAnsi="Times New Roman" w:cs="Times New Roman"/>
          <w:sz w:val="26"/>
          <w:szCs w:val="26"/>
        </w:rPr>
        <w:t>прочие налоги в отношении юридических лиц (включая налог на имущество и отчисления в страховые взносы);</w:t>
      </w:r>
    </w:p>
    <w:p w:rsidR="00A44E5D" w:rsidRPr="00A24C32" w:rsidRDefault="00A44E5D" w:rsidP="00A24C32">
      <w:pPr>
        <w:pStyle w:val="a5"/>
        <w:numPr>
          <w:ilvl w:val="0"/>
          <w:numId w:val="9"/>
        </w:numPr>
        <w:spacing w:after="120"/>
        <w:jc w:val="both"/>
        <w:rPr>
          <w:rFonts w:ascii="Times New Roman" w:hAnsi="Times New Roman" w:cs="Times New Roman"/>
          <w:sz w:val="26"/>
          <w:szCs w:val="26"/>
        </w:rPr>
      </w:pPr>
      <w:r w:rsidRPr="00A24C32">
        <w:rPr>
          <w:rFonts w:ascii="Times New Roman" w:hAnsi="Times New Roman" w:cs="Times New Roman"/>
          <w:sz w:val="26"/>
          <w:szCs w:val="26"/>
        </w:rPr>
        <w:t>таможенные платежи (экспортные пошлины);</w:t>
      </w:r>
    </w:p>
    <w:p w:rsidR="00A44E5D" w:rsidRPr="00A24C32" w:rsidRDefault="00A44E5D" w:rsidP="00A24C32">
      <w:pPr>
        <w:pStyle w:val="a5"/>
        <w:numPr>
          <w:ilvl w:val="0"/>
          <w:numId w:val="9"/>
        </w:numPr>
        <w:spacing w:after="120"/>
        <w:jc w:val="both"/>
        <w:rPr>
          <w:rFonts w:ascii="Times New Roman" w:hAnsi="Times New Roman" w:cs="Times New Roman"/>
          <w:sz w:val="26"/>
          <w:szCs w:val="26"/>
        </w:rPr>
      </w:pPr>
      <w:r w:rsidRPr="00A24C32">
        <w:rPr>
          <w:rFonts w:ascii="Times New Roman" w:hAnsi="Times New Roman" w:cs="Times New Roman"/>
          <w:sz w:val="26"/>
          <w:szCs w:val="26"/>
        </w:rPr>
        <w:t>акцизы.</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Основу налоговой нагрузки на российские компании сегмента разведки и добычи составляют НДПИ и вывозные таможенные платежи. Их доля в структуре налоговых платежей может превышать 90%.</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Функционирующая до 2013 года налоговая система была основана на единой специфической ставке </w:t>
      </w:r>
      <w:r w:rsidRPr="00D50C42">
        <w:rPr>
          <w:rFonts w:ascii="Times New Roman" w:hAnsi="Times New Roman" w:cs="Times New Roman"/>
          <w:i/>
          <w:sz w:val="26"/>
          <w:szCs w:val="26"/>
        </w:rPr>
        <w:t>НДПИ</w:t>
      </w:r>
      <w:r w:rsidRPr="00D50C42">
        <w:rPr>
          <w:rFonts w:ascii="Times New Roman" w:hAnsi="Times New Roman" w:cs="Times New Roman"/>
          <w:sz w:val="26"/>
          <w:szCs w:val="26"/>
        </w:rPr>
        <w:t xml:space="preserve">, не учитывала объективных различий в условиях добычи нефти, обусловленных горно-геологическими характеристиками месторождений, их расположением, а также стадией разработки. В результате, ухудшалась экономика добычи нефти на месторождениях с повышенными затратами, </w:t>
      </w:r>
      <w:r w:rsidRPr="00D50C42">
        <w:rPr>
          <w:rFonts w:ascii="Times New Roman" w:hAnsi="Times New Roman" w:cs="Times New Roman"/>
          <w:sz w:val="26"/>
          <w:szCs w:val="26"/>
        </w:rPr>
        <w:lastRenderedPageBreak/>
        <w:t>стимулировались выборочный отбор наиболее эффективных запасов и досрочное прекращение разработки истощенных месторождений.</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«Налоговый маневр» позволил специфицировать ставки для разработки новых или труднодоступных месторождений, создав определенные стимулы для увеличения инвестиций в основные фонды и геологоразведочные работы. Ставка НДПИ применяется с дисконтом, в зависимости от степени </w:t>
      </w:r>
      <w:proofErr w:type="spellStart"/>
      <w:r w:rsidRPr="00D50C42">
        <w:rPr>
          <w:rFonts w:ascii="Times New Roman" w:hAnsi="Times New Roman" w:cs="Times New Roman"/>
          <w:sz w:val="26"/>
          <w:szCs w:val="26"/>
        </w:rPr>
        <w:t>выработанности</w:t>
      </w:r>
      <w:proofErr w:type="spellEnd"/>
      <w:r w:rsidRPr="00D50C42">
        <w:rPr>
          <w:rFonts w:ascii="Times New Roman" w:hAnsi="Times New Roman" w:cs="Times New Roman"/>
          <w:sz w:val="26"/>
          <w:szCs w:val="26"/>
        </w:rPr>
        <w:t xml:space="preserve"> запасов конкретного участка недр в соответствии с российской системой классификации запасов.</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Увеличение ставки НДПИ и понижение цен на нефть на внешнем рынке  не привели к сокращению добычи нефти в первом полугодии 2015 года по сравнению с тем же периодом 2014 года. Напротив, темпы роста увеличились, что подтверждает гипотезу о соответствии «налогового маневра» краткосрочным потребностям отрасли. Впрочем, анализ отчетности российских компаний показал, что рост эффективной ставки НДПИ по итогам 1 полугодия 2015 года оказался не слишком большим – в пределах 15% по отношению к ставкам аналогичного периода прошлого года.</w:t>
      </w:r>
    </w:p>
    <w:p w:rsidR="00A44E5D" w:rsidRPr="000F4260" w:rsidRDefault="00A44E5D" w:rsidP="000F4260">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Повышение ставки НДПИ незначительно отразилось и на отчислениях в бюджеты различных уровней. За первый квартал рост отчислений налога на добычу полезных ископаемых в федеральный бюджет увеличился на 1,6% по сравнению с 2014 годом, а в бюд</w:t>
      </w:r>
      <w:r w:rsidR="000F4260">
        <w:rPr>
          <w:rFonts w:ascii="Times New Roman" w:hAnsi="Times New Roman" w:cs="Times New Roman"/>
          <w:sz w:val="26"/>
          <w:szCs w:val="26"/>
        </w:rPr>
        <w:t xml:space="preserve">жеты субъектов РФ – на 38,9%.  </w:t>
      </w:r>
    </w:p>
    <w:p w:rsidR="00A44E5D" w:rsidRPr="00B96EBC" w:rsidRDefault="00A44E5D" w:rsidP="00A44E5D">
      <w:pPr>
        <w:spacing w:after="120"/>
        <w:ind w:firstLine="709"/>
        <w:jc w:val="both"/>
        <w:rPr>
          <w:rFonts w:ascii="Times New Roman" w:hAnsi="Times New Roman" w:cs="Times New Roman"/>
          <w:b/>
          <w:i/>
          <w:sz w:val="20"/>
          <w:szCs w:val="24"/>
        </w:rPr>
      </w:pPr>
      <w:r w:rsidRPr="00B96EBC">
        <w:rPr>
          <w:rFonts w:ascii="Times New Roman" w:hAnsi="Times New Roman" w:cs="Times New Roman"/>
          <w:b/>
          <w:i/>
          <w:sz w:val="20"/>
          <w:szCs w:val="24"/>
        </w:rPr>
        <w:t>Эффективные ставки НДПИ нефтяных компаний в 2014-2015 гг., руб./</w:t>
      </w:r>
      <w:proofErr w:type="gramStart"/>
      <w:r w:rsidRPr="00B96EBC">
        <w:rPr>
          <w:rFonts w:ascii="Times New Roman" w:hAnsi="Times New Roman" w:cs="Times New Roman"/>
          <w:b/>
          <w:i/>
          <w:sz w:val="20"/>
          <w:szCs w:val="24"/>
        </w:rPr>
        <w:t>т</w:t>
      </w:r>
      <w:proofErr w:type="gramEnd"/>
      <w:r w:rsidRPr="00B96EBC">
        <w:rPr>
          <w:rFonts w:ascii="Times New Roman" w:hAnsi="Times New Roman" w:cs="Times New Roman"/>
          <w:b/>
          <w:i/>
          <w:sz w:val="20"/>
          <w:szCs w:val="24"/>
        </w:rPr>
        <w:t>.</w:t>
      </w:r>
    </w:p>
    <w:tbl>
      <w:tblPr>
        <w:tblW w:w="9889" w:type="dxa"/>
        <w:tblLook w:val="04A0" w:firstRow="1" w:lastRow="0" w:firstColumn="1" w:lastColumn="0" w:noHBand="0" w:noVBand="1"/>
      </w:tblPr>
      <w:tblGrid>
        <w:gridCol w:w="2089"/>
        <w:gridCol w:w="1950"/>
        <w:gridCol w:w="1950"/>
        <w:gridCol w:w="1950"/>
        <w:gridCol w:w="1950"/>
      </w:tblGrid>
      <w:tr w:rsidR="00A44E5D" w:rsidRPr="00F54A53" w:rsidTr="00A44E5D">
        <w:tc>
          <w:tcPr>
            <w:tcW w:w="2089" w:type="dxa"/>
          </w:tcPr>
          <w:p w:rsidR="00A44E5D" w:rsidRPr="00F54A53" w:rsidRDefault="00A44E5D" w:rsidP="00A44E5D">
            <w:pPr>
              <w:spacing w:after="120"/>
              <w:rPr>
                <w:rFonts w:cs="Times New Roman"/>
                <w:szCs w:val="24"/>
              </w:rPr>
            </w:pPr>
          </w:p>
        </w:tc>
        <w:tc>
          <w:tcPr>
            <w:tcW w:w="1950" w:type="dxa"/>
          </w:tcPr>
          <w:p w:rsidR="00A44E5D" w:rsidRPr="00F54A53" w:rsidRDefault="00A44E5D" w:rsidP="00A44E5D">
            <w:pPr>
              <w:spacing w:after="120"/>
              <w:jc w:val="center"/>
              <w:rPr>
                <w:rFonts w:cs="Times New Roman"/>
                <w:szCs w:val="24"/>
              </w:rPr>
            </w:pPr>
            <w:r w:rsidRPr="00F54A53">
              <w:rPr>
                <w:rFonts w:cs="Times New Roman"/>
                <w:szCs w:val="24"/>
              </w:rPr>
              <w:t>1П 14</w:t>
            </w:r>
          </w:p>
        </w:tc>
        <w:tc>
          <w:tcPr>
            <w:tcW w:w="1950" w:type="dxa"/>
          </w:tcPr>
          <w:p w:rsidR="00A44E5D" w:rsidRPr="00F54A53" w:rsidRDefault="00A44E5D" w:rsidP="00A44E5D">
            <w:pPr>
              <w:spacing w:after="120"/>
              <w:jc w:val="center"/>
              <w:rPr>
                <w:rFonts w:cs="Times New Roman"/>
                <w:szCs w:val="24"/>
              </w:rPr>
            </w:pPr>
            <w:r w:rsidRPr="00F54A53">
              <w:rPr>
                <w:rFonts w:cs="Times New Roman"/>
                <w:szCs w:val="24"/>
              </w:rPr>
              <w:t>1КВ 15</w:t>
            </w:r>
          </w:p>
        </w:tc>
        <w:tc>
          <w:tcPr>
            <w:tcW w:w="1950" w:type="dxa"/>
          </w:tcPr>
          <w:p w:rsidR="00A44E5D" w:rsidRPr="00F54A53" w:rsidRDefault="00A44E5D" w:rsidP="00A44E5D">
            <w:pPr>
              <w:spacing w:after="120"/>
              <w:jc w:val="center"/>
              <w:rPr>
                <w:rFonts w:cs="Times New Roman"/>
                <w:szCs w:val="24"/>
              </w:rPr>
            </w:pPr>
            <w:r w:rsidRPr="00F54A53">
              <w:rPr>
                <w:rFonts w:cs="Times New Roman"/>
                <w:szCs w:val="24"/>
              </w:rPr>
              <w:t>2КВ 15</w:t>
            </w:r>
          </w:p>
        </w:tc>
        <w:tc>
          <w:tcPr>
            <w:tcW w:w="1950" w:type="dxa"/>
          </w:tcPr>
          <w:p w:rsidR="00A44E5D" w:rsidRPr="00F54A53" w:rsidRDefault="00A44E5D" w:rsidP="00A44E5D">
            <w:pPr>
              <w:spacing w:after="120"/>
              <w:jc w:val="center"/>
              <w:rPr>
                <w:rFonts w:cs="Times New Roman"/>
                <w:szCs w:val="24"/>
              </w:rPr>
            </w:pPr>
            <w:r w:rsidRPr="00F54A53">
              <w:rPr>
                <w:rFonts w:cs="Times New Roman"/>
                <w:szCs w:val="24"/>
              </w:rPr>
              <w:t>1П 15</w:t>
            </w:r>
          </w:p>
        </w:tc>
      </w:tr>
      <w:tr w:rsidR="00A44E5D" w:rsidRPr="00F54A53" w:rsidTr="00A44E5D">
        <w:tc>
          <w:tcPr>
            <w:tcW w:w="2089" w:type="dxa"/>
          </w:tcPr>
          <w:p w:rsidR="00A44E5D" w:rsidRPr="00F54A53" w:rsidRDefault="00A44E5D" w:rsidP="00A44E5D">
            <w:pPr>
              <w:spacing w:after="120"/>
              <w:rPr>
                <w:rFonts w:cs="Times New Roman"/>
                <w:szCs w:val="24"/>
              </w:rPr>
            </w:pPr>
            <w:r w:rsidRPr="00F54A53">
              <w:rPr>
                <w:rFonts w:cs="Times New Roman"/>
                <w:szCs w:val="24"/>
              </w:rPr>
              <w:t>Роснефть</w:t>
            </w:r>
          </w:p>
        </w:tc>
        <w:tc>
          <w:tcPr>
            <w:tcW w:w="1950" w:type="dxa"/>
          </w:tcPr>
          <w:p w:rsidR="00A44E5D" w:rsidRPr="00F54A53" w:rsidRDefault="00A44E5D" w:rsidP="00A44E5D">
            <w:pPr>
              <w:spacing w:after="120"/>
              <w:jc w:val="center"/>
              <w:rPr>
                <w:rFonts w:cs="Times New Roman"/>
                <w:szCs w:val="24"/>
              </w:rPr>
            </w:pPr>
            <w:r w:rsidRPr="00F54A53">
              <w:rPr>
                <w:rFonts w:cs="Times New Roman"/>
                <w:szCs w:val="24"/>
              </w:rPr>
              <w:t>6 107</w:t>
            </w:r>
          </w:p>
        </w:tc>
        <w:tc>
          <w:tcPr>
            <w:tcW w:w="1950" w:type="dxa"/>
          </w:tcPr>
          <w:p w:rsidR="00A44E5D" w:rsidRPr="00F54A53" w:rsidRDefault="00A44E5D" w:rsidP="00A44E5D">
            <w:pPr>
              <w:spacing w:after="120"/>
              <w:jc w:val="center"/>
              <w:rPr>
                <w:rFonts w:cs="Times New Roman"/>
                <w:szCs w:val="24"/>
              </w:rPr>
            </w:pPr>
            <w:r w:rsidRPr="00F54A53">
              <w:rPr>
                <w:rFonts w:cs="Times New Roman"/>
                <w:szCs w:val="24"/>
              </w:rPr>
              <w:t>6 834</w:t>
            </w:r>
          </w:p>
        </w:tc>
        <w:tc>
          <w:tcPr>
            <w:tcW w:w="1950" w:type="dxa"/>
          </w:tcPr>
          <w:p w:rsidR="00A44E5D" w:rsidRPr="00F54A53" w:rsidRDefault="00A44E5D" w:rsidP="00A44E5D">
            <w:pPr>
              <w:spacing w:after="120"/>
              <w:jc w:val="center"/>
              <w:rPr>
                <w:rFonts w:cs="Times New Roman"/>
                <w:szCs w:val="24"/>
              </w:rPr>
            </w:pPr>
            <w:r w:rsidRPr="00F54A53">
              <w:rPr>
                <w:rFonts w:cs="Times New Roman"/>
                <w:szCs w:val="24"/>
              </w:rPr>
              <w:t>7 071</w:t>
            </w:r>
          </w:p>
        </w:tc>
        <w:tc>
          <w:tcPr>
            <w:tcW w:w="1950" w:type="dxa"/>
          </w:tcPr>
          <w:p w:rsidR="00A44E5D" w:rsidRPr="00F54A53" w:rsidRDefault="00A44E5D" w:rsidP="00A44E5D">
            <w:pPr>
              <w:spacing w:after="120"/>
              <w:jc w:val="center"/>
              <w:rPr>
                <w:rFonts w:cs="Times New Roman"/>
                <w:szCs w:val="24"/>
              </w:rPr>
            </w:pPr>
            <w:r w:rsidRPr="00F54A53">
              <w:rPr>
                <w:rFonts w:cs="Times New Roman"/>
                <w:color w:val="000000"/>
                <w:szCs w:val="24"/>
              </w:rPr>
              <w:t>6 954</w:t>
            </w:r>
          </w:p>
        </w:tc>
      </w:tr>
      <w:tr w:rsidR="00A44E5D" w:rsidRPr="00F54A53" w:rsidTr="00A44E5D">
        <w:tc>
          <w:tcPr>
            <w:tcW w:w="2089" w:type="dxa"/>
          </w:tcPr>
          <w:p w:rsidR="00A44E5D" w:rsidRPr="00F54A53" w:rsidRDefault="00A44E5D" w:rsidP="00A44E5D">
            <w:pPr>
              <w:spacing w:after="120"/>
              <w:rPr>
                <w:rFonts w:cs="Times New Roman"/>
                <w:szCs w:val="24"/>
              </w:rPr>
            </w:pPr>
            <w:r w:rsidRPr="00F54A53">
              <w:rPr>
                <w:rFonts w:cs="Times New Roman"/>
                <w:color w:val="000000"/>
                <w:szCs w:val="24"/>
              </w:rPr>
              <w:t>Газпром нефть</w:t>
            </w:r>
          </w:p>
        </w:tc>
        <w:tc>
          <w:tcPr>
            <w:tcW w:w="1950" w:type="dxa"/>
          </w:tcPr>
          <w:p w:rsidR="00A44E5D" w:rsidRPr="00F54A53" w:rsidRDefault="00A44E5D" w:rsidP="00A44E5D">
            <w:pPr>
              <w:spacing w:after="120"/>
              <w:jc w:val="center"/>
              <w:rPr>
                <w:rFonts w:cs="Times New Roman"/>
                <w:szCs w:val="24"/>
              </w:rPr>
            </w:pPr>
            <w:r w:rsidRPr="00F54A53">
              <w:rPr>
                <w:rFonts w:cs="Times New Roman"/>
                <w:szCs w:val="24"/>
              </w:rPr>
              <w:t>5 824</w:t>
            </w:r>
          </w:p>
        </w:tc>
        <w:tc>
          <w:tcPr>
            <w:tcW w:w="1950" w:type="dxa"/>
          </w:tcPr>
          <w:p w:rsidR="00A44E5D" w:rsidRPr="00F54A53" w:rsidRDefault="00A44E5D" w:rsidP="00A44E5D">
            <w:pPr>
              <w:spacing w:after="120"/>
              <w:jc w:val="center"/>
              <w:rPr>
                <w:rFonts w:cs="Times New Roman"/>
                <w:szCs w:val="24"/>
              </w:rPr>
            </w:pPr>
            <w:r w:rsidRPr="00F54A53">
              <w:rPr>
                <w:rFonts w:cs="Times New Roman"/>
                <w:szCs w:val="24"/>
              </w:rPr>
              <w:t>6 545</w:t>
            </w:r>
          </w:p>
        </w:tc>
        <w:tc>
          <w:tcPr>
            <w:tcW w:w="1950" w:type="dxa"/>
          </w:tcPr>
          <w:p w:rsidR="00A44E5D" w:rsidRPr="00F54A53" w:rsidRDefault="00A44E5D" w:rsidP="00A44E5D">
            <w:pPr>
              <w:spacing w:after="120"/>
              <w:jc w:val="center"/>
              <w:rPr>
                <w:rFonts w:cs="Times New Roman"/>
                <w:szCs w:val="24"/>
              </w:rPr>
            </w:pPr>
            <w:r w:rsidRPr="00F54A53">
              <w:rPr>
                <w:rFonts w:cs="Times New Roman"/>
                <w:szCs w:val="24"/>
              </w:rPr>
              <w:t>6 682</w:t>
            </w:r>
          </w:p>
        </w:tc>
        <w:tc>
          <w:tcPr>
            <w:tcW w:w="1950" w:type="dxa"/>
          </w:tcPr>
          <w:p w:rsidR="00A44E5D" w:rsidRPr="00F54A53" w:rsidRDefault="00A44E5D" w:rsidP="00A44E5D">
            <w:pPr>
              <w:spacing w:after="120"/>
              <w:jc w:val="center"/>
              <w:rPr>
                <w:rFonts w:cs="Times New Roman"/>
                <w:szCs w:val="24"/>
              </w:rPr>
            </w:pPr>
            <w:r w:rsidRPr="00F54A53">
              <w:rPr>
                <w:rFonts w:cs="Times New Roman"/>
                <w:szCs w:val="24"/>
              </w:rPr>
              <w:t>6 545</w:t>
            </w:r>
          </w:p>
        </w:tc>
      </w:tr>
      <w:tr w:rsidR="00A44E5D" w:rsidRPr="00F54A53" w:rsidTr="00A44E5D">
        <w:tc>
          <w:tcPr>
            <w:tcW w:w="2089" w:type="dxa"/>
          </w:tcPr>
          <w:p w:rsidR="00A44E5D" w:rsidRPr="00F54A53" w:rsidRDefault="00A44E5D" w:rsidP="00A44E5D">
            <w:pPr>
              <w:spacing w:after="120"/>
              <w:rPr>
                <w:rFonts w:cs="Times New Roman"/>
                <w:szCs w:val="24"/>
              </w:rPr>
            </w:pPr>
            <w:r w:rsidRPr="00F54A53">
              <w:rPr>
                <w:rFonts w:cs="Times New Roman"/>
                <w:color w:val="000000"/>
                <w:szCs w:val="24"/>
              </w:rPr>
              <w:t>Татнефть</w:t>
            </w:r>
          </w:p>
        </w:tc>
        <w:tc>
          <w:tcPr>
            <w:tcW w:w="1950" w:type="dxa"/>
          </w:tcPr>
          <w:p w:rsidR="00A44E5D" w:rsidRPr="00F54A53" w:rsidRDefault="00A44E5D" w:rsidP="00A44E5D">
            <w:pPr>
              <w:spacing w:after="120"/>
              <w:jc w:val="center"/>
              <w:rPr>
                <w:rFonts w:cs="Times New Roman"/>
                <w:szCs w:val="24"/>
              </w:rPr>
            </w:pPr>
            <w:r w:rsidRPr="00F54A53">
              <w:rPr>
                <w:rFonts w:cs="Times New Roman"/>
                <w:szCs w:val="24"/>
              </w:rPr>
              <w:t>-</w:t>
            </w:r>
          </w:p>
        </w:tc>
        <w:tc>
          <w:tcPr>
            <w:tcW w:w="1950" w:type="dxa"/>
          </w:tcPr>
          <w:p w:rsidR="00A44E5D" w:rsidRPr="00F54A53" w:rsidRDefault="00A44E5D" w:rsidP="00A44E5D">
            <w:pPr>
              <w:spacing w:after="120"/>
              <w:jc w:val="center"/>
              <w:rPr>
                <w:rFonts w:cs="Times New Roman"/>
                <w:szCs w:val="24"/>
              </w:rPr>
            </w:pPr>
            <w:r w:rsidRPr="00F54A53">
              <w:rPr>
                <w:rFonts w:cs="Times New Roman"/>
                <w:szCs w:val="24"/>
              </w:rPr>
              <w:t>-</w:t>
            </w:r>
          </w:p>
        </w:tc>
        <w:tc>
          <w:tcPr>
            <w:tcW w:w="1950" w:type="dxa"/>
          </w:tcPr>
          <w:p w:rsidR="00A44E5D" w:rsidRPr="00F54A53" w:rsidRDefault="00A44E5D" w:rsidP="00A44E5D">
            <w:pPr>
              <w:spacing w:after="120"/>
              <w:jc w:val="center"/>
              <w:rPr>
                <w:rFonts w:cs="Times New Roman"/>
                <w:szCs w:val="24"/>
              </w:rPr>
            </w:pPr>
            <w:r w:rsidRPr="00F54A53">
              <w:rPr>
                <w:rFonts w:cs="Times New Roman"/>
                <w:szCs w:val="24"/>
              </w:rPr>
              <w:t>-</w:t>
            </w:r>
          </w:p>
        </w:tc>
        <w:tc>
          <w:tcPr>
            <w:tcW w:w="1950" w:type="dxa"/>
          </w:tcPr>
          <w:p w:rsidR="00A44E5D" w:rsidRPr="00F54A53" w:rsidRDefault="00A44E5D" w:rsidP="00A44E5D">
            <w:pPr>
              <w:spacing w:after="120"/>
              <w:jc w:val="center"/>
              <w:rPr>
                <w:rFonts w:cs="Times New Roman"/>
                <w:szCs w:val="24"/>
              </w:rPr>
            </w:pPr>
            <w:r w:rsidRPr="00F54A53">
              <w:rPr>
                <w:rFonts w:cs="Times New Roman"/>
                <w:color w:val="000000"/>
                <w:szCs w:val="24"/>
              </w:rPr>
              <w:t>6 972</w:t>
            </w:r>
          </w:p>
        </w:tc>
      </w:tr>
      <w:tr w:rsidR="00A44E5D" w:rsidRPr="00F54A53" w:rsidTr="00A44E5D">
        <w:tc>
          <w:tcPr>
            <w:tcW w:w="2089" w:type="dxa"/>
          </w:tcPr>
          <w:p w:rsidR="00A44E5D" w:rsidRPr="00F54A53" w:rsidRDefault="00A44E5D" w:rsidP="00A44E5D">
            <w:pPr>
              <w:spacing w:after="120"/>
              <w:rPr>
                <w:rFonts w:cs="Times New Roman"/>
                <w:color w:val="000000"/>
                <w:szCs w:val="24"/>
              </w:rPr>
            </w:pPr>
            <w:r w:rsidRPr="00F54A53">
              <w:rPr>
                <w:rFonts w:cs="Times New Roman"/>
                <w:color w:val="000000"/>
                <w:szCs w:val="24"/>
              </w:rPr>
              <w:t>Сургутнефтегаз</w:t>
            </w:r>
          </w:p>
        </w:tc>
        <w:tc>
          <w:tcPr>
            <w:tcW w:w="1950" w:type="dxa"/>
          </w:tcPr>
          <w:p w:rsidR="00A44E5D" w:rsidRPr="00F54A53" w:rsidRDefault="00A44E5D" w:rsidP="00A44E5D">
            <w:pPr>
              <w:spacing w:after="120"/>
              <w:jc w:val="center"/>
              <w:rPr>
                <w:rFonts w:cs="Times New Roman"/>
                <w:szCs w:val="24"/>
              </w:rPr>
            </w:pPr>
            <w:r w:rsidRPr="00F54A53">
              <w:rPr>
                <w:rFonts w:cs="Times New Roman"/>
                <w:szCs w:val="24"/>
              </w:rPr>
              <w:t>-</w:t>
            </w:r>
          </w:p>
        </w:tc>
        <w:tc>
          <w:tcPr>
            <w:tcW w:w="1950" w:type="dxa"/>
          </w:tcPr>
          <w:p w:rsidR="00A44E5D" w:rsidRPr="00F54A53" w:rsidRDefault="00A44E5D" w:rsidP="00A44E5D">
            <w:pPr>
              <w:spacing w:after="120"/>
              <w:jc w:val="center"/>
              <w:rPr>
                <w:rFonts w:cs="Times New Roman"/>
                <w:szCs w:val="24"/>
              </w:rPr>
            </w:pPr>
            <w:r w:rsidRPr="00F54A53">
              <w:rPr>
                <w:rFonts w:cs="Times New Roman"/>
                <w:szCs w:val="24"/>
              </w:rPr>
              <w:t>-</w:t>
            </w:r>
          </w:p>
        </w:tc>
        <w:tc>
          <w:tcPr>
            <w:tcW w:w="1950" w:type="dxa"/>
          </w:tcPr>
          <w:p w:rsidR="00A44E5D" w:rsidRPr="00F54A53" w:rsidRDefault="00A44E5D" w:rsidP="00A44E5D">
            <w:pPr>
              <w:spacing w:after="120"/>
              <w:jc w:val="center"/>
              <w:rPr>
                <w:rFonts w:cs="Times New Roman"/>
                <w:szCs w:val="24"/>
              </w:rPr>
            </w:pPr>
            <w:r w:rsidRPr="00F54A53">
              <w:rPr>
                <w:rFonts w:cs="Times New Roman"/>
                <w:szCs w:val="24"/>
              </w:rPr>
              <w:t>-</w:t>
            </w:r>
          </w:p>
        </w:tc>
        <w:tc>
          <w:tcPr>
            <w:tcW w:w="1950" w:type="dxa"/>
          </w:tcPr>
          <w:p w:rsidR="00A44E5D" w:rsidRPr="00F54A53" w:rsidRDefault="00A44E5D" w:rsidP="00A44E5D">
            <w:pPr>
              <w:spacing w:after="120"/>
              <w:jc w:val="center"/>
              <w:rPr>
                <w:rFonts w:cs="Times New Roman"/>
                <w:color w:val="000000"/>
                <w:szCs w:val="24"/>
              </w:rPr>
            </w:pPr>
            <w:r w:rsidRPr="00F54A53">
              <w:rPr>
                <w:rFonts w:cs="Times New Roman"/>
                <w:color w:val="000000"/>
                <w:szCs w:val="24"/>
              </w:rPr>
              <w:t>-</w:t>
            </w:r>
          </w:p>
        </w:tc>
      </w:tr>
      <w:tr w:rsidR="00A44E5D" w:rsidRPr="00F54A53" w:rsidTr="00A44E5D">
        <w:tc>
          <w:tcPr>
            <w:tcW w:w="2089" w:type="dxa"/>
          </w:tcPr>
          <w:p w:rsidR="00A44E5D" w:rsidRPr="00F54A53" w:rsidRDefault="00A44E5D" w:rsidP="00A44E5D">
            <w:pPr>
              <w:spacing w:after="120"/>
              <w:rPr>
                <w:rFonts w:cs="Times New Roman"/>
                <w:szCs w:val="24"/>
              </w:rPr>
            </w:pPr>
            <w:proofErr w:type="spellStart"/>
            <w:r w:rsidRPr="00F54A53">
              <w:rPr>
                <w:rFonts w:cs="Times New Roman"/>
                <w:color w:val="000000"/>
                <w:szCs w:val="24"/>
              </w:rPr>
              <w:t>Башнефть</w:t>
            </w:r>
            <w:proofErr w:type="spellEnd"/>
          </w:p>
        </w:tc>
        <w:tc>
          <w:tcPr>
            <w:tcW w:w="1950" w:type="dxa"/>
          </w:tcPr>
          <w:p w:rsidR="00A44E5D" w:rsidRPr="00F54A53" w:rsidRDefault="00A44E5D" w:rsidP="00A44E5D">
            <w:pPr>
              <w:spacing w:after="120"/>
              <w:jc w:val="center"/>
              <w:rPr>
                <w:rFonts w:cs="Times New Roman"/>
                <w:szCs w:val="24"/>
              </w:rPr>
            </w:pPr>
            <w:r w:rsidRPr="00F54A53">
              <w:rPr>
                <w:rFonts w:cs="Times New Roman"/>
                <w:szCs w:val="24"/>
              </w:rPr>
              <w:t>6 135</w:t>
            </w:r>
          </w:p>
        </w:tc>
        <w:tc>
          <w:tcPr>
            <w:tcW w:w="1950" w:type="dxa"/>
          </w:tcPr>
          <w:p w:rsidR="00A44E5D" w:rsidRPr="00F54A53" w:rsidRDefault="00A44E5D" w:rsidP="00A44E5D">
            <w:pPr>
              <w:spacing w:after="120"/>
              <w:jc w:val="center"/>
              <w:rPr>
                <w:rFonts w:cs="Times New Roman"/>
                <w:szCs w:val="24"/>
              </w:rPr>
            </w:pPr>
            <w:r w:rsidRPr="00F54A53">
              <w:rPr>
                <w:rFonts w:cs="Times New Roman"/>
                <w:szCs w:val="24"/>
              </w:rPr>
              <w:t>6834</w:t>
            </w:r>
          </w:p>
        </w:tc>
        <w:tc>
          <w:tcPr>
            <w:tcW w:w="1950" w:type="dxa"/>
          </w:tcPr>
          <w:p w:rsidR="00A44E5D" w:rsidRPr="00F54A53" w:rsidRDefault="00A44E5D" w:rsidP="00A44E5D">
            <w:pPr>
              <w:spacing w:after="120"/>
              <w:jc w:val="center"/>
              <w:rPr>
                <w:rFonts w:cs="Times New Roman"/>
                <w:szCs w:val="24"/>
              </w:rPr>
            </w:pPr>
            <w:r w:rsidRPr="00F54A53">
              <w:rPr>
                <w:rFonts w:cs="Times New Roman"/>
                <w:szCs w:val="24"/>
              </w:rPr>
              <w:t>7073</w:t>
            </w:r>
          </w:p>
        </w:tc>
        <w:tc>
          <w:tcPr>
            <w:tcW w:w="1950" w:type="dxa"/>
          </w:tcPr>
          <w:p w:rsidR="00A44E5D" w:rsidRPr="00F54A53" w:rsidRDefault="00A44E5D" w:rsidP="00A44E5D">
            <w:pPr>
              <w:spacing w:after="120"/>
              <w:jc w:val="center"/>
              <w:rPr>
                <w:rFonts w:cs="Times New Roman"/>
                <w:szCs w:val="24"/>
              </w:rPr>
            </w:pPr>
            <w:r w:rsidRPr="00F54A53">
              <w:rPr>
                <w:rFonts w:cs="Times New Roman"/>
                <w:color w:val="000000"/>
                <w:szCs w:val="24"/>
              </w:rPr>
              <w:t>6954</w:t>
            </w:r>
          </w:p>
        </w:tc>
      </w:tr>
    </w:tbl>
    <w:p w:rsidR="00A44E5D" w:rsidRPr="000F4260" w:rsidRDefault="00A44E5D" w:rsidP="000F4260">
      <w:pPr>
        <w:spacing w:after="120"/>
        <w:ind w:firstLine="709"/>
        <w:jc w:val="both"/>
        <w:rPr>
          <w:rFonts w:ascii="Times New Roman" w:hAnsi="Times New Roman" w:cs="Times New Roman"/>
          <w:i/>
          <w:sz w:val="20"/>
          <w:szCs w:val="24"/>
        </w:rPr>
      </w:pPr>
      <w:r w:rsidRPr="00061190">
        <w:rPr>
          <w:rFonts w:ascii="Times New Roman" w:hAnsi="Times New Roman" w:cs="Times New Roman"/>
          <w:i/>
          <w:sz w:val="20"/>
          <w:szCs w:val="24"/>
        </w:rPr>
        <w:t>Источник</w:t>
      </w:r>
      <w:r w:rsidR="000F4260">
        <w:rPr>
          <w:rFonts w:ascii="Times New Roman" w:hAnsi="Times New Roman" w:cs="Times New Roman"/>
          <w:i/>
          <w:sz w:val="20"/>
          <w:szCs w:val="24"/>
        </w:rPr>
        <w:t>: по данным отчетности компаний</w:t>
      </w:r>
    </w:p>
    <w:p w:rsidR="00A44E5D" w:rsidRPr="00B96EBC" w:rsidRDefault="00A44E5D" w:rsidP="00A44E5D">
      <w:pPr>
        <w:spacing w:after="120"/>
        <w:ind w:firstLine="709"/>
        <w:jc w:val="both"/>
        <w:rPr>
          <w:rFonts w:ascii="Times New Roman" w:hAnsi="Times New Roman" w:cs="Times New Roman"/>
          <w:b/>
          <w:i/>
          <w:sz w:val="20"/>
          <w:szCs w:val="24"/>
        </w:rPr>
      </w:pPr>
      <w:r w:rsidRPr="00B96EBC">
        <w:rPr>
          <w:rFonts w:ascii="Times New Roman" w:hAnsi="Times New Roman" w:cs="Times New Roman"/>
          <w:b/>
          <w:i/>
          <w:sz w:val="20"/>
          <w:szCs w:val="24"/>
        </w:rPr>
        <w:t>Налоговые поступления в бюджеты разных уровней</w:t>
      </w:r>
    </w:p>
    <w:tbl>
      <w:tblPr>
        <w:tblW w:w="9851" w:type="dxa"/>
        <w:jc w:val="center"/>
        <w:tblInd w:w="-1237" w:type="dxa"/>
        <w:tblLayout w:type="fixed"/>
        <w:tblLook w:val="04A0" w:firstRow="1" w:lastRow="0" w:firstColumn="1" w:lastColumn="0" w:noHBand="0" w:noVBand="1"/>
      </w:tblPr>
      <w:tblGrid>
        <w:gridCol w:w="3046"/>
        <w:gridCol w:w="993"/>
        <w:gridCol w:w="992"/>
        <w:gridCol w:w="1276"/>
        <w:gridCol w:w="1134"/>
        <w:gridCol w:w="992"/>
        <w:gridCol w:w="1418"/>
      </w:tblGrid>
      <w:tr w:rsidR="00A44E5D" w:rsidRPr="00B96EBC" w:rsidTr="00A44E5D">
        <w:trPr>
          <w:trHeight w:val="311"/>
          <w:jc w:val="center"/>
        </w:trPr>
        <w:tc>
          <w:tcPr>
            <w:tcW w:w="3046" w:type="dxa"/>
            <w:vMerge w:val="restart"/>
            <w:noWrap/>
            <w:hideMark/>
          </w:tcPr>
          <w:p w:rsidR="00A44E5D" w:rsidRPr="00B96EBC" w:rsidRDefault="00A44E5D" w:rsidP="00A44E5D">
            <w:pPr>
              <w:spacing w:after="120"/>
              <w:jc w:val="both"/>
              <w:rPr>
                <w:rFonts w:cs="Times New Roman"/>
                <w:b/>
                <w:bCs/>
                <w:sz w:val="20"/>
              </w:rPr>
            </w:pPr>
          </w:p>
        </w:tc>
        <w:tc>
          <w:tcPr>
            <w:tcW w:w="3261" w:type="dxa"/>
            <w:gridSpan w:val="3"/>
            <w:noWrap/>
            <w:vAlign w:val="center"/>
            <w:hideMark/>
          </w:tcPr>
          <w:p w:rsidR="00A44E5D" w:rsidRPr="00B96EBC" w:rsidRDefault="00A44E5D" w:rsidP="00A44E5D">
            <w:pPr>
              <w:spacing w:after="120"/>
              <w:jc w:val="center"/>
              <w:rPr>
                <w:rFonts w:cs="Times New Roman"/>
                <w:sz w:val="20"/>
              </w:rPr>
            </w:pPr>
            <w:r w:rsidRPr="00B96EBC">
              <w:rPr>
                <w:rFonts w:cs="Times New Roman"/>
                <w:sz w:val="20"/>
              </w:rPr>
              <w:t>I полугодие 2015г.</w:t>
            </w:r>
          </w:p>
        </w:tc>
        <w:tc>
          <w:tcPr>
            <w:tcW w:w="3544" w:type="dxa"/>
            <w:gridSpan w:val="3"/>
            <w:noWrap/>
            <w:vAlign w:val="center"/>
            <w:hideMark/>
          </w:tcPr>
          <w:p w:rsidR="00A44E5D" w:rsidRPr="00B96EBC" w:rsidRDefault="00A44E5D" w:rsidP="00A44E5D">
            <w:pPr>
              <w:spacing w:after="120"/>
              <w:jc w:val="center"/>
              <w:rPr>
                <w:rFonts w:cs="Times New Roman"/>
                <w:sz w:val="20"/>
              </w:rPr>
            </w:pPr>
            <w:r w:rsidRPr="00B96EBC">
              <w:rPr>
                <w:rFonts w:cs="Times New Roman"/>
                <w:sz w:val="20"/>
              </w:rPr>
              <w:t>В % к I полугодию 2014г</w:t>
            </w:r>
          </w:p>
        </w:tc>
      </w:tr>
      <w:tr w:rsidR="00A44E5D" w:rsidRPr="00B96EBC" w:rsidTr="00A44E5D">
        <w:trPr>
          <w:trHeight w:val="259"/>
          <w:jc w:val="center"/>
        </w:trPr>
        <w:tc>
          <w:tcPr>
            <w:tcW w:w="3046" w:type="dxa"/>
            <w:vMerge/>
            <w:noWrap/>
            <w:hideMark/>
          </w:tcPr>
          <w:p w:rsidR="00A44E5D" w:rsidRPr="00B96EBC" w:rsidRDefault="00A44E5D" w:rsidP="00A44E5D">
            <w:pPr>
              <w:spacing w:after="120"/>
              <w:jc w:val="both"/>
              <w:rPr>
                <w:rFonts w:cs="Times New Roman"/>
                <w:sz w:val="20"/>
              </w:rPr>
            </w:pPr>
          </w:p>
        </w:tc>
        <w:tc>
          <w:tcPr>
            <w:tcW w:w="993" w:type="dxa"/>
            <w:vMerge w:val="restart"/>
            <w:hideMark/>
          </w:tcPr>
          <w:p w:rsidR="00A44E5D" w:rsidRPr="00B96EBC" w:rsidRDefault="00A44E5D" w:rsidP="00A44E5D">
            <w:pPr>
              <w:spacing w:after="120"/>
              <w:ind w:left="34"/>
              <w:jc w:val="both"/>
              <w:rPr>
                <w:rFonts w:cs="Times New Roman"/>
                <w:sz w:val="20"/>
              </w:rPr>
            </w:pPr>
            <w:r w:rsidRPr="00B96EBC">
              <w:rPr>
                <w:rFonts w:cs="Times New Roman"/>
                <w:sz w:val="20"/>
              </w:rPr>
              <w:t>консолидированный бюджет</w:t>
            </w:r>
          </w:p>
        </w:tc>
        <w:tc>
          <w:tcPr>
            <w:tcW w:w="2268" w:type="dxa"/>
            <w:gridSpan w:val="2"/>
            <w:noWrap/>
            <w:vAlign w:val="center"/>
            <w:hideMark/>
          </w:tcPr>
          <w:p w:rsidR="00A44E5D" w:rsidRPr="00B96EBC" w:rsidRDefault="00A44E5D" w:rsidP="00A44E5D">
            <w:pPr>
              <w:spacing w:after="120"/>
              <w:jc w:val="center"/>
              <w:rPr>
                <w:rFonts w:cs="Times New Roman"/>
                <w:sz w:val="20"/>
              </w:rPr>
            </w:pPr>
            <w:r w:rsidRPr="00B96EBC">
              <w:rPr>
                <w:rFonts w:cs="Times New Roman"/>
                <w:sz w:val="20"/>
              </w:rPr>
              <w:t>в том числе</w:t>
            </w:r>
          </w:p>
        </w:tc>
        <w:tc>
          <w:tcPr>
            <w:tcW w:w="1134" w:type="dxa"/>
            <w:vMerge w:val="restart"/>
            <w:vAlign w:val="center"/>
            <w:hideMark/>
          </w:tcPr>
          <w:p w:rsidR="00A44E5D" w:rsidRPr="00B96EBC" w:rsidRDefault="00A44E5D" w:rsidP="00A44E5D">
            <w:pPr>
              <w:spacing w:after="120"/>
              <w:jc w:val="center"/>
              <w:rPr>
                <w:rFonts w:cs="Times New Roman"/>
                <w:sz w:val="20"/>
              </w:rPr>
            </w:pPr>
            <w:r w:rsidRPr="00B96EBC">
              <w:rPr>
                <w:rFonts w:cs="Times New Roman"/>
                <w:sz w:val="20"/>
              </w:rPr>
              <w:t>консолидированный бюджет</w:t>
            </w:r>
          </w:p>
        </w:tc>
        <w:tc>
          <w:tcPr>
            <w:tcW w:w="2410" w:type="dxa"/>
            <w:gridSpan w:val="2"/>
            <w:noWrap/>
            <w:hideMark/>
          </w:tcPr>
          <w:p w:rsidR="00A44E5D" w:rsidRPr="00B96EBC" w:rsidRDefault="00A44E5D" w:rsidP="00A44E5D">
            <w:pPr>
              <w:spacing w:after="120"/>
              <w:jc w:val="both"/>
              <w:rPr>
                <w:rFonts w:cs="Times New Roman"/>
                <w:sz w:val="20"/>
              </w:rPr>
            </w:pPr>
            <w:r w:rsidRPr="00B96EBC">
              <w:rPr>
                <w:rFonts w:cs="Times New Roman"/>
                <w:sz w:val="20"/>
              </w:rPr>
              <w:t>в том числе</w:t>
            </w:r>
          </w:p>
        </w:tc>
      </w:tr>
      <w:tr w:rsidR="00A44E5D" w:rsidRPr="00B96EBC" w:rsidTr="00A44E5D">
        <w:trPr>
          <w:trHeight w:val="1040"/>
          <w:jc w:val="center"/>
        </w:trPr>
        <w:tc>
          <w:tcPr>
            <w:tcW w:w="3046" w:type="dxa"/>
            <w:vMerge/>
            <w:hideMark/>
          </w:tcPr>
          <w:p w:rsidR="00A44E5D" w:rsidRPr="00B96EBC" w:rsidRDefault="00A44E5D" w:rsidP="00A44E5D">
            <w:pPr>
              <w:spacing w:after="120"/>
              <w:jc w:val="both"/>
              <w:rPr>
                <w:rFonts w:cs="Times New Roman"/>
                <w:sz w:val="20"/>
              </w:rPr>
            </w:pPr>
          </w:p>
        </w:tc>
        <w:tc>
          <w:tcPr>
            <w:tcW w:w="993" w:type="dxa"/>
            <w:vMerge/>
            <w:hideMark/>
          </w:tcPr>
          <w:p w:rsidR="00A44E5D" w:rsidRPr="00B96EBC" w:rsidRDefault="00A44E5D" w:rsidP="00A44E5D">
            <w:pPr>
              <w:spacing w:after="120"/>
              <w:jc w:val="both"/>
              <w:rPr>
                <w:rFonts w:cs="Times New Roman"/>
                <w:sz w:val="20"/>
              </w:rPr>
            </w:pPr>
          </w:p>
        </w:tc>
        <w:tc>
          <w:tcPr>
            <w:tcW w:w="992" w:type="dxa"/>
            <w:vAlign w:val="center"/>
            <w:hideMark/>
          </w:tcPr>
          <w:p w:rsidR="00A44E5D" w:rsidRPr="00B96EBC" w:rsidRDefault="00A44E5D" w:rsidP="00A44E5D">
            <w:pPr>
              <w:spacing w:after="120"/>
              <w:jc w:val="center"/>
              <w:rPr>
                <w:rFonts w:cs="Times New Roman"/>
                <w:sz w:val="20"/>
              </w:rPr>
            </w:pPr>
            <w:r w:rsidRPr="00B96EBC">
              <w:rPr>
                <w:rFonts w:cs="Times New Roman"/>
                <w:sz w:val="20"/>
              </w:rPr>
              <w:t>федеральный бюджет</w:t>
            </w:r>
          </w:p>
        </w:tc>
        <w:tc>
          <w:tcPr>
            <w:tcW w:w="1276" w:type="dxa"/>
            <w:vAlign w:val="center"/>
            <w:hideMark/>
          </w:tcPr>
          <w:p w:rsidR="00A44E5D" w:rsidRPr="00B96EBC" w:rsidRDefault="00A44E5D" w:rsidP="00A44E5D">
            <w:pPr>
              <w:spacing w:after="120"/>
              <w:jc w:val="center"/>
              <w:rPr>
                <w:rFonts w:cs="Times New Roman"/>
                <w:sz w:val="20"/>
              </w:rPr>
            </w:pPr>
            <w:r w:rsidRPr="00B96EBC">
              <w:rPr>
                <w:rFonts w:cs="Times New Roman"/>
                <w:sz w:val="20"/>
              </w:rPr>
              <w:t>консолидированные бюджеты субъектов РФ</w:t>
            </w:r>
          </w:p>
        </w:tc>
        <w:tc>
          <w:tcPr>
            <w:tcW w:w="1134" w:type="dxa"/>
            <w:vMerge/>
            <w:vAlign w:val="center"/>
            <w:hideMark/>
          </w:tcPr>
          <w:p w:rsidR="00A44E5D" w:rsidRPr="00B96EBC" w:rsidRDefault="00A44E5D" w:rsidP="00A44E5D">
            <w:pPr>
              <w:spacing w:after="120"/>
              <w:jc w:val="center"/>
              <w:rPr>
                <w:rFonts w:cs="Times New Roman"/>
                <w:sz w:val="20"/>
              </w:rPr>
            </w:pPr>
          </w:p>
        </w:tc>
        <w:tc>
          <w:tcPr>
            <w:tcW w:w="992" w:type="dxa"/>
            <w:vAlign w:val="center"/>
            <w:hideMark/>
          </w:tcPr>
          <w:p w:rsidR="00A44E5D" w:rsidRPr="00B96EBC" w:rsidRDefault="00A44E5D" w:rsidP="00A44E5D">
            <w:pPr>
              <w:spacing w:after="120"/>
              <w:jc w:val="center"/>
              <w:rPr>
                <w:rFonts w:cs="Times New Roman"/>
                <w:sz w:val="20"/>
              </w:rPr>
            </w:pPr>
            <w:r w:rsidRPr="00B96EBC">
              <w:rPr>
                <w:rFonts w:cs="Times New Roman"/>
                <w:sz w:val="20"/>
              </w:rPr>
              <w:t>федеральный бюджет</w:t>
            </w:r>
          </w:p>
        </w:tc>
        <w:tc>
          <w:tcPr>
            <w:tcW w:w="1418" w:type="dxa"/>
            <w:vAlign w:val="center"/>
            <w:hideMark/>
          </w:tcPr>
          <w:p w:rsidR="00A44E5D" w:rsidRPr="00B96EBC" w:rsidRDefault="00A44E5D" w:rsidP="00A44E5D">
            <w:pPr>
              <w:spacing w:after="120"/>
              <w:jc w:val="center"/>
              <w:rPr>
                <w:rFonts w:cs="Times New Roman"/>
                <w:sz w:val="20"/>
              </w:rPr>
            </w:pPr>
            <w:r w:rsidRPr="00B96EBC">
              <w:rPr>
                <w:rFonts w:cs="Times New Roman"/>
                <w:sz w:val="20"/>
              </w:rPr>
              <w:t>консолидированные бюджеты субъектов РФ</w:t>
            </w:r>
          </w:p>
        </w:tc>
      </w:tr>
      <w:tr w:rsidR="00A44E5D" w:rsidRPr="00B96EBC" w:rsidTr="00A44E5D">
        <w:trPr>
          <w:trHeight w:val="765"/>
          <w:jc w:val="center"/>
        </w:trPr>
        <w:tc>
          <w:tcPr>
            <w:tcW w:w="3046" w:type="dxa"/>
            <w:hideMark/>
          </w:tcPr>
          <w:p w:rsidR="00A44E5D" w:rsidRPr="00B96EBC" w:rsidRDefault="00A44E5D" w:rsidP="00A44E5D">
            <w:pPr>
              <w:spacing w:after="120"/>
              <w:jc w:val="both"/>
              <w:rPr>
                <w:rFonts w:cs="Times New Roman"/>
                <w:sz w:val="20"/>
              </w:rPr>
            </w:pPr>
            <w:r w:rsidRPr="00B96EBC">
              <w:rPr>
                <w:rFonts w:cs="Times New Roman"/>
                <w:sz w:val="20"/>
              </w:rPr>
              <w:t>налоги, сборы и регулярные платежи за пользование природными ресурсами</w:t>
            </w:r>
          </w:p>
        </w:tc>
        <w:tc>
          <w:tcPr>
            <w:tcW w:w="993" w:type="dxa"/>
            <w:vAlign w:val="center"/>
            <w:hideMark/>
          </w:tcPr>
          <w:p w:rsidR="00A44E5D" w:rsidRPr="00B96EBC" w:rsidRDefault="00A44E5D" w:rsidP="00A44E5D">
            <w:pPr>
              <w:spacing w:after="120"/>
              <w:jc w:val="center"/>
              <w:rPr>
                <w:rFonts w:cs="Times New Roman"/>
                <w:sz w:val="20"/>
              </w:rPr>
            </w:pPr>
            <w:r w:rsidRPr="00B96EBC">
              <w:rPr>
                <w:rFonts w:cs="Times New Roman"/>
                <w:sz w:val="20"/>
              </w:rPr>
              <w:t>1671,6</w:t>
            </w:r>
          </w:p>
        </w:tc>
        <w:tc>
          <w:tcPr>
            <w:tcW w:w="992" w:type="dxa"/>
            <w:vAlign w:val="center"/>
            <w:hideMark/>
          </w:tcPr>
          <w:p w:rsidR="00A44E5D" w:rsidRPr="00B96EBC" w:rsidRDefault="00A44E5D" w:rsidP="00A44E5D">
            <w:pPr>
              <w:spacing w:after="120"/>
              <w:jc w:val="center"/>
              <w:rPr>
                <w:rFonts w:cs="Times New Roman"/>
                <w:sz w:val="20"/>
              </w:rPr>
            </w:pPr>
            <w:r w:rsidRPr="00B96EBC">
              <w:rPr>
                <w:rFonts w:cs="Times New Roman"/>
                <w:sz w:val="20"/>
              </w:rPr>
              <w:t>1645,1</w:t>
            </w:r>
          </w:p>
        </w:tc>
        <w:tc>
          <w:tcPr>
            <w:tcW w:w="1276" w:type="dxa"/>
            <w:vAlign w:val="center"/>
            <w:hideMark/>
          </w:tcPr>
          <w:p w:rsidR="00A44E5D" w:rsidRPr="00B96EBC" w:rsidRDefault="00A44E5D" w:rsidP="00A44E5D">
            <w:pPr>
              <w:spacing w:after="120"/>
              <w:jc w:val="center"/>
              <w:rPr>
                <w:rFonts w:cs="Times New Roman"/>
                <w:sz w:val="20"/>
              </w:rPr>
            </w:pPr>
            <w:r w:rsidRPr="00B96EBC">
              <w:rPr>
                <w:rFonts w:cs="Times New Roman"/>
                <w:sz w:val="20"/>
              </w:rPr>
              <w:t>26,4</w:t>
            </w:r>
          </w:p>
        </w:tc>
        <w:tc>
          <w:tcPr>
            <w:tcW w:w="1134" w:type="dxa"/>
            <w:vAlign w:val="center"/>
            <w:hideMark/>
          </w:tcPr>
          <w:p w:rsidR="00A44E5D" w:rsidRPr="00B96EBC" w:rsidRDefault="00A44E5D" w:rsidP="00A44E5D">
            <w:pPr>
              <w:spacing w:after="120"/>
              <w:jc w:val="center"/>
              <w:rPr>
                <w:rFonts w:cs="Times New Roman"/>
                <w:sz w:val="20"/>
              </w:rPr>
            </w:pPr>
            <w:r w:rsidRPr="00B96EBC">
              <w:rPr>
                <w:rFonts w:cs="Times New Roman"/>
                <w:sz w:val="20"/>
              </w:rPr>
              <w:t>111,4</w:t>
            </w:r>
          </w:p>
        </w:tc>
        <w:tc>
          <w:tcPr>
            <w:tcW w:w="992" w:type="dxa"/>
            <w:vAlign w:val="center"/>
            <w:hideMark/>
          </w:tcPr>
          <w:p w:rsidR="00A44E5D" w:rsidRPr="00B96EBC" w:rsidRDefault="00A44E5D" w:rsidP="00A44E5D">
            <w:pPr>
              <w:spacing w:after="120"/>
              <w:jc w:val="center"/>
              <w:rPr>
                <w:rFonts w:cs="Times New Roman"/>
                <w:sz w:val="20"/>
              </w:rPr>
            </w:pPr>
            <w:r w:rsidRPr="00B96EBC">
              <w:rPr>
                <w:rFonts w:cs="Times New Roman"/>
                <w:sz w:val="20"/>
              </w:rPr>
              <w:t>111,1</w:t>
            </w:r>
          </w:p>
        </w:tc>
        <w:tc>
          <w:tcPr>
            <w:tcW w:w="1418" w:type="dxa"/>
            <w:vAlign w:val="center"/>
            <w:hideMark/>
          </w:tcPr>
          <w:p w:rsidR="00A44E5D" w:rsidRPr="00B96EBC" w:rsidRDefault="00A44E5D" w:rsidP="00A44E5D">
            <w:pPr>
              <w:spacing w:after="120"/>
              <w:jc w:val="center"/>
              <w:rPr>
                <w:rFonts w:cs="Times New Roman"/>
                <w:sz w:val="20"/>
              </w:rPr>
            </w:pPr>
            <w:r w:rsidRPr="00B96EBC">
              <w:rPr>
                <w:rFonts w:cs="Times New Roman"/>
                <w:sz w:val="20"/>
              </w:rPr>
              <w:t>135,1</w:t>
            </w:r>
          </w:p>
        </w:tc>
      </w:tr>
      <w:tr w:rsidR="00A44E5D" w:rsidRPr="00B96EBC" w:rsidTr="00A44E5D">
        <w:trPr>
          <w:trHeight w:val="510"/>
          <w:jc w:val="center"/>
        </w:trPr>
        <w:tc>
          <w:tcPr>
            <w:tcW w:w="3046" w:type="dxa"/>
            <w:hideMark/>
          </w:tcPr>
          <w:p w:rsidR="00A44E5D" w:rsidRPr="00B96EBC" w:rsidRDefault="00A44E5D" w:rsidP="00A44E5D">
            <w:pPr>
              <w:spacing w:after="120"/>
              <w:jc w:val="both"/>
              <w:rPr>
                <w:rFonts w:cs="Times New Roman"/>
                <w:sz w:val="20"/>
              </w:rPr>
            </w:pPr>
            <w:r w:rsidRPr="00B96EBC">
              <w:rPr>
                <w:rFonts w:cs="Times New Roman"/>
                <w:sz w:val="20"/>
              </w:rPr>
              <w:t>из них налог на добычу полезных ископаемых</w:t>
            </w:r>
          </w:p>
        </w:tc>
        <w:tc>
          <w:tcPr>
            <w:tcW w:w="993" w:type="dxa"/>
            <w:vAlign w:val="center"/>
            <w:hideMark/>
          </w:tcPr>
          <w:p w:rsidR="00A44E5D" w:rsidRPr="00B96EBC" w:rsidRDefault="00A44E5D" w:rsidP="00A44E5D">
            <w:pPr>
              <w:spacing w:after="120"/>
              <w:jc w:val="center"/>
              <w:rPr>
                <w:rFonts w:cs="Times New Roman"/>
                <w:sz w:val="20"/>
              </w:rPr>
            </w:pPr>
            <w:r w:rsidRPr="00B96EBC">
              <w:rPr>
                <w:rFonts w:cs="Times New Roman"/>
                <w:sz w:val="20"/>
              </w:rPr>
              <w:t>1660,7</w:t>
            </w:r>
          </w:p>
        </w:tc>
        <w:tc>
          <w:tcPr>
            <w:tcW w:w="992" w:type="dxa"/>
            <w:vAlign w:val="center"/>
            <w:hideMark/>
          </w:tcPr>
          <w:p w:rsidR="00A44E5D" w:rsidRPr="00B96EBC" w:rsidRDefault="00A44E5D" w:rsidP="00A44E5D">
            <w:pPr>
              <w:spacing w:after="120"/>
              <w:jc w:val="center"/>
              <w:rPr>
                <w:rFonts w:cs="Times New Roman"/>
                <w:sz w:val="20"/>
              </w:rPr>
            </w:pPr>
            <w:r w:rsidRPr="00B96EBC">
              <w:rPr>
                <w:rFonts w:cs="Times New Roman"/>
                <w:sz w:val="20"/>
              </w:rPr>
              <w:t>1635,3</w:t>
            </w:r>
          </w:p>
        </w:tc>
        <w:tc>
          <w:tcPr>
            <w:tcW w:w="1276" w:type="dxa"/>
            <w:vAlign w:val="center"/>
            <w:hideMark/>
          </w:tcPr>
          <w:p w:rsidR="00A44E5D" w:rsidRPr="00B96EBC" w:rsidRDefault="00A44E5D" w:rsidP="00A44E5D">
            <w:pPr>
              <w:spacing w:after="120"/>
              <w:jc w:val="center"/>
              <w:rPr>
                <w:rFonts w:cs="Times New Roman"/>
                <w:sz w:val="20"/>
              </w:rPr>
            </w:pPr>
            <w:r w:rsidRPr="00B96EBC">
              <w:rPr>
                <w:rFonts w:cs="Times New Roman"/>
                <w:sz w:val="20"/>
              </w:rPr>
              <w:t>25,4</w:t>
            </w:r>
          </w:p>
        </w:tc>
        <w:tc>
          <w:tcPr>
            <w:tcW w:w="1134" w:type="dxa"/>
            <w:vAlign w:val="center"/>
            <w:hideMark/>
          </w:tcPr>
          <w:p w:rsidR="00A44E5D" w:rsidRPr="00B96EBC" w:rsidRDefault="00A44E5D" w:rsidP="00A44E5D">
            <w:pPr>
              <w:spacing w:after="120"/>
              <w:jc w:val="center"/>
              <w:rPr>
                <w:rFonts w:cs="Times New Roman"/>
                <w:sz w:val="20"/>
              </w:rPr>
            </w:pPr>
            <w:r w:rsidRPr="00B96EBC">
              <w:rPr>
                <w:rFonts w:cs="Times New Roman"/>
                <w:sz w:val="20"/>
              </w:rPr>
              <w:t>111,9</w:t>
            </w:r>
          </w:p>
        </w:tc>
        <w:tc>
          <w:tcPr>
            <w:tcW w:w="992" w:type="dxa"/>
            <w:vAlign w:val="center"/>
            <w:hideMark/>
          </w:tcPr>
          <w:p w:rsidR="00A44E5D" w:rsidRPr="00B96EBC" w:rsidRDefault="00A44E5D" w:rsidP="00A44E5D">
            <w:pPr>
              <w:spacing w:after="120"/>
              <w:jc w:val="center"/>
              <w:rPr>
                <w:rFonts w:cs="Times New Roman"/>
                <w:sz w:val="20"/>
              </w:rPr>
            </w:pPr>
            <w:r w:rsidRPr="00B96EBC">
              <w:rPr>
                <w:rFonts w:cs="Times New Roman"/>
                <w:sz w:val="20"/>
              </w:rPr>
              <w:t>111,6</w:t>
            </w:r>
          </w:p>
        </w:tc>
        <w:tc>
          <w:tcPr>
            <w:tcW w:w="1418" w:type="dxa"/>
            <w:vAlign w:val="center"/>
            <w:hideMark/>
          </w:tcPr>
          <w:p w:rsidR="00A44E5D" w:rsidRPr="00B96EBC" w:rsidRDefault="00A44E5D" w:rsidP="00A44E5D">
            <w:pPr>
              <w:spacing w:after="120"/>
              <w:jc w:val="center"/>
              <w:rPr>
                <w:rFonts w:cs="Times New Roman"/>
                <w:sz w:val="20"/>
              </w:rPr>
            </w:pPr>
            <w:r w:rsidRPr="00B96EBC">
              <w:rPr>
                <w:rFonts w:cs="Times New Roman"/>
                <w:sz w:val="20"/>
              </w:rPr>
              <w:t>138,9</w:t>
            </w:r>
          </w:p>
        </w:tc>
      </w:tr>
    </w:tbl>
    <w:p w:rsidR="00A44E5D" w:rsidRPr="00A24C32" w:rsidRDefault="00A44E5D" w:rsidP="00A24C32">
      <w:pPr>
        <w:spacing w:after="120"/>
        <w:ind w:firstLine="709"/>
        <w:jc w:val="both"/>
        <w:rPr>
          <w:rFonts w:ascii="Times New Roman" w:hAnsi="Times New Roman" w:cs="Times New Roman"/>
          <w:i/>
          <w:sz w:val="20"/>
          <w:szCs w:val="24"/>
        </w:rPr>
      </w:pPr>
      <w:r w:rsidRPr="00061190">
        <w:rPr>
          <w:rFonts w:ascii="Times New Roman" w:hAnsi="Times New Roman" w:cs="Times New Roman"/>
          <w:i/>
          <w:sz w:val="20"/>
          <w:szCs w:val="24"/>
        </w:rPr>
        <w:t xml:space="preserve">Источник: </w:t>
      </w:r>
      <w:r>
        <w:rPr>
          <w:rFonts w:ascii="Times New Roman" w:hAnsi="Times New Roman" w:cs="Times New Roman"/>
          <w:i/>
          <w:sz w:val="20"/>
          <w:szCs w:val="24"/>
        </w:rPr>
        <w:t>ФНС</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i/>
          <w:sz w:val="26"/>
          <w:szCs w:val="26"/>
        </w:rPr>
        <w:lastRenderedPageBreak/>
        <w:t>Экспортные пошлины</w:t>
      </w:r>
      <w:r w:rsidRPr="00D50C42">
        <w:rPr>
          <w:rFonts w:ascii="Times New Roman" w:hAnsi="Times New Roman" w:cs="Times New Roman"/>
          <w:sz w:val="26"/>
          <w:szCs w:val="26"/>
        </w:rPr>
        <w:t xml:space="preserve"> на нефть и нефтепродукты являются одним из важнейших источников доходов российского бюджета. Как и НДПИ экспортная пошлина привязывается к колебаниям мировых цен на нефть, и, дополняя первый, по сути, выполняет функцию налога на случайные доходы. В результате «налогового маневра» среднее значение экспортной пошлины на нефть за первое полугодие опустилось до 130,1 долл./т, что на 66,4% ниже по сравнению с 2014 годом. </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В то же время, в условиях падения стоимости сырья и снижения экспортных пошлин нефтяные компании увеличивали объемы экспорта для частичного нивелирования выпадающих доходов. В первом полугодии 2015 года экспорт нефти в натуральных показателях увеличился на 7,2% по сравнению с аналогичным периодом прошлого года, однако в стоимостном отношении зафиксировано сокращение экспорта на 42%.</w:t>
      </w:r>
    </w:p>
    <w:p w:rsidR="00A44E5D" w:rsidRDefault="00A44E5D" w:rsidP="00A44E5D">
      <w:pPr>
        <w:spacing w:after="120"/>
        <w:ind w:firstLine="709"/>
        <w:jc w:val="both"/>
        <w:rPr>
          <w:rFonts w:ascii="Times New Roman" w:hAnsi="Times New Roman" w:cs="Times New Roman"/>
          <w:sz w:val="24"/>
          <w:szCs w:val="24"/>
        </w:rPr>
      </w:pPr>
    </w:p>
    <w:p w:rsidR="00A44E5D" w:rsidRPr="00CC5A11" w:rsidRDefault="00A44E5D" w:rsidP="00A44E5D">
      <w:pPr>
        <w:spacing w:after="120"/>
        <w:ind w:firstLine="709"/>
        <w:jc w:val="both"/>
        <w:rPr>
          <w:rFonts w:ascii="Times New Roman" w:hAnsi="Times New Roman" w:cs="Times New Roman"/>
          <w:b/>
          <w:i/>
          <w:sz w:val="20"/>
          <w:szCs w:val="24"/>
        </w:rPr>
      </w:pPr>
      <w:r w:rsidRPr="00CC5A11">
        <w:rPr>
          <w:rFonts w:ascii="Times New Roman" w:hAnsi="Times New Roman" w:cs="Times New Roman"/>
          <w:b/>
          <w:i/>
          <w:sz w:val="20"/>
          <w:szCs w:val="24"/>
        </w:rPr>
        <w:t>Экспорт России в январе-июле 2015 года к январю-июлю 2014</w:t>
      </w:r>
    </w:p>
    <w:tbl>
      <w:tblPr>
        <w:tblW w:w="0" w:type="auto"/>
        <w:tblInd w:w="250" w:type="dxa"/>
        <w:tblLook w:val="04A0" w:firstRow="1" w:lastRow="0" w:firstColumn="1" w:lastColumn="0" w:noHBand="0" w:noVBand="1"/>
      </w:tblPr>
      <w:tblGrid>
        <w:gridCol w:w="2952"/>
        <w:gridCol w:w="830"/>
        <w:gridCol w:w="1386"/>
        <w:gridCol w:w="831"/>
        <w:gridCol w:w="1387"/>
        <w:gridCol w:w="831"/>
        <w:gridCol w:w="1387"/>
      </w:tblGrid>
      <w:tr w:rsidR="00A44E5D" w:rsidRPr="00CC5A11" w:rsidTr="00A44E5D">
        <w:trPr>
          <w:trHeight w:val="255"/>
        </w:trPr>
        <w:tc>
          <w:tcPr>
            <w:tcW w:w="2977" w:type="dxa"/>
            <w:vMerge w:val="restart"/>
            <w:noWrap/>
            <w:vAlign w:val="center"/>
            <w:hideMark/>
          </w:tcPr>
          <w:p w:rsidR="00A44E5D" w:rsidRPr="00CC5A11" w:rsidRDefault="00A44E5D" w:rsidP="00A44E5D">
            <w:pPr>
              <w:spacing w:after="120"/>
              <w:rPr>
                <w:rFonts w:cs="Times New Roman"/>
                <w:sz w:val="20"/>
                <w:szCs w:val="20"/>
              </w:rPr>
            </w:pPr>
            <w:r w:rsidRPr="00CC5A11">
              <w:rPr>
                <w:rFonts w:cs="Times New Roman"/>
                <w:sz w:val="20"/>
                <w:szCs w:val="20"/>
              </w:rPr>
              <w:t>Наименование товара</w:t>
            </w:r>
          </w:p>
        </w:tc>
        <w:tc>
          <w:tcPr>
            <w:tcW w:w="2233" w:type="dxa"/>
            <w:gridSpan w:val="2"/>
            <w:noWrap/>
            <w:vAlign w:val="center"/>
            <w:hideMark/>
          </w:tcPr>
          <w:p w:rsidR="00A44E5D" w:rsidRPr="00CC5A11" w:rsidRDefault="00A44E5D" w:rsidP="00A44E5D">
            <w:pPr>
              <w:spacing w:after="120"/>
              <w:jc w:val="center"/>
              <w:rPr>
                <w:rFonts w:cs="Times New Roman"/>
                <w:bCs/>
                <w:sz w:val="20"/>
                <w:szCs w:val="20"/>
              </w:rPr>
            </w:pPr>
            <w:r w:rsidRPr="00CC5A11">
              <w:rPr>
                <w:rFonts w:cs="Times New Roman"/>
                <w:bCs/>
                <w:sz w:val="20"/>
                <w:szCs w:val="20"/>
              </w:rPr>
              <w:t>Всего, 2015</w:t>
            </w:r>
          </w:p>
        </w:tc>
        <w:tc>
          <w:tcPr>
            <w:tcW w:w="2233" w:type="dxa"/>
            <w:gridSpan w:val="2"/>
            <w:noWrap/>
            <w:vAlign w:val="center"/>
            <w:hideMark/>
          </w:tcPr>
          <w:p w:rsidR="00A44E5D" w:rsidRPr="00CC5A11" w:rsidRDefault="00A44E5D" w:rsidP="00A44E5D">
            <w:pPr>
              <w:spacing w:after="120"/>
              <w:jc w:val="center"/>
              <w:rPr>
                <w:rFonts w:cs="Times New Roman"/>
                <w:bCs/>
                <w:sz w:val="20"/>
                <w:szCs w:val="20"/>
              </w:rPr>
            </w:pPr>
            <w:r w:rsidRPr="00CC5A11">
              <w:rPr>
                <w:rFonts w:cs="Times New Roman"/>
                <w:bCs/>
                <w:sz w:val="20"/>
                <w:szCs w:val="20"/>
              </w:rPr>
              <w:t>Дальнее зарубежье</w:t>
            </w:r>
          </w:p>
        </w:tc>
        <w:tc>
          <w:tcPr>
            <w:tcW w:w="2233" w:type="dxa"/>
            <w:gridSpan w:val="2"/>
            <w:noWrap/>
            <w:vAlign w:val="center"/>
            <w:hideMark/>
          </w:tcPr>
          <w:p w:rsidR="00A44E5D" w:rsidRPr="00CC5A11" w:rsidRDefault="00A44E5D" w:rsidP="00A44E5D">
            <w:pPr>
              <w:spacing w:after="120"/>
              <w:jc w:val="center"/>
              <w:rPr>
                <w:rFonts w:cs="Times New Roman"/>
                <w:bCs/>
                <w:sz w:val="20"/>
                <w:szCs w:val="20"/>
              </w:rPr>
            </w:pPr>
            <w:r w:rsidRPr="00CC5A11">
              <w:rPr>
                <w:rFonts w:cs="Times New Roman"/>
                <w:bCs/>
                <w:sz w:val="20"/>
                <w:szCs w:val="20"/>
              </w:rPr>
              <w:t>СНГ</w:t>
            </w:r>
          </w:p>
        </w:tc>
      </w:tr>
      <w:tr w:rsidR="00A44E5D" w:rsidRPr="00B50D0C" w:rsidTr="00A44E5D">
        <w:trPr>
          <w:trHeight w:val="255"/>
        </w:trPr>
        <w:tc>
          <w:tcPr>
            <w:tcW w:w="2977" w:type="dxa"/>
            <w:vMerge/>
            <w:vAlign w:val="center"/>
            <w:hideMark/>
          </w:tcPr>
          <w:p w:rsidR="00A44E5D" w:rsidRPr="00CC5A11" w:rsidRDefault="00A44E5D" w:rsidP="00A44E5D">
            <w:pPr>
              <w:spacing w:after="120"/>
              <w:rPr>
                <w:rFonts w:cs="Times New Roman"/>
                <w:sz w:val="20"/>
                <w:szCs w:val="20"/>
              </w:rPr>
            </w:pPr>
          </w:p>
        </w:tc>
        <w:tc>
          <w:tcPr>
            <w:tcW w:w="836" w:type="dxa"/>
            <w:noWrap/>
            <w:vAlign w:val="center"/>
            <w:hideMark/>
          </w:tcPr>
          <w:p w:rsidR="00A44E5D" w:rsidRPr="00CC5A11" w:rsidRDefault="00A44E5D" w:rsidP="00A44E5D">
            <w:pPr>
              <w:spacing w:after="120"/>
              <w:jc w:val="center"/>
              <w:rPr>
                <w:rFonts w:cs="Times New Roman"/>
                <w:bCs/>
                <w:sz w:val="20"/>
                <w:szCs w:val="20"/>
              </w:rPr>
            </w:pPr>
            <w:r w:rsidRPr="00CC5A11">
              <w:rPr>
                <w:rFonts w:cs="Times New Roman"/>
                <w:bCs/>
                <w:sz w:val="20"/>
                <w:szCs w:val="20"/>
              </w:rPr>
              <w:t>тыс.</w:t>
            </w:r>
          </w:p>
        </w:tc>
        <w:tc>
          <w:tcPr>
            <w:tcW w:w="1397" w:type="dxa"/>
            <w:noWrap/>
            <w:vAlign w:val="center"/>
            <w:hideMark/>
          </w:tcPr>
          <w:p w:rsidR="00A44E5D" w:rsidRPr="00CC5A11" w:rsidRDefault="00A44E5D" w:rsidP="00A44E5D">
            <w:pPr>
              <w:spacing w:after="120"/>
              <w:jc w:val="center"/>
              <w:rPr>
                <w:rFonts w:cs="Times New Roman"/>
                <w:bCs/>
                <w:sz w:val="20"/>
                <w:szCs w:val="20"/>
              </w:rPr>
            </w:pPr>
            <w:r w:rsidRPr="00CC5A11">
              <w:rPr>
                <w:rFonts w:cs="Times New Roman"/>
                <w:bCs/>
                <w:sz w:val="20"/>
                <w:szCs w:val="20"/>
              </w:rPr>
              <w:t>млн.</w:t>
            </w:r>
          </w:p>
        </w:tc>
        <w:tc>
          <w:tcPr>
            <w:tcW w:w="836" w:type="dxa"/>
            <w:noWrap/>
            <w:vAlign w:val="center"/>
            <w:hideMark/>
          </w:tcPr>
          <w:p w:rsidR="00A44E5D" w:rsidRPr="00CC5A11" w:rsidRDefault="00A44E5D" w:rsidP="00A44E5D">
            <w:pPr>
              <w:spacing w:after="120"/>
              <w:jc w:val="center"/>
              <w:rPr>
                <w:rFonts w:cs="Times New Roman"/>
                <w:bCs/>
                <w:sz w:val="20"/>
                <w:szCs w:val="20"/>
              </w:rPr>
            </w:pPr>
            <w:r w:rsidRPr="00CC5A11">
              <w:rPr>
                <w:rFonts w:cs="Times New Roman"/>
                <w:bCs/>
                <w:sz w:val="20"/>
                <w:szCs w:val="20"/>
              </w:rPr>
              <w:t>тыс.</w:t>
            </w:r>
          </w:p>
        </w:tc>
        <w:tc>
          <w:tcPr>
            <w:tcW w:w="1397" w:type="dxa"/>
            <w:noWrap/>
            <w:vAlign w:val="center"/>
            <w:hideMark/>
          </w:tcPr>
          <w:p w:rsidR="00A44E5D" w:rsidRPr="00CC5A11" w:rsidRDefault="00A44E5D" w:rsidP="00A44E5D">
            <w:pPr>
              <w:spacing w:after="120"/>
              <w:jc w:val="center"/>
              <w:rPr>
                <w:rFonts w:cs="Times New Roman"/>
                <w:bCs/>
                <w:sz w:val="20"/>
                <w:szCs w:val="20"/>
              </w:rPr>
            </w:pPr>
            <w:r w:rsidRPr="00CC5A11">
              <w:rPr>
                <w:rFonts w:cs="Times New Roman"/>
                <w:bCs/>
                <w:sz w:val="20"/>
                <w:szCs w:val="20"/>
              </w:rPr>
              <w:t>млн.</w:t>
            </w:r>
          </w:p>
        </w:tc>
        <w:tc>
          <w:tcPr>
            <w:tcW w:w="836" w:type="dxa"/>
            <w:noWrap/>
            <w:vAlign w:val="center"/>
            <w:hideMark/>
          </w:tcPr>
          <w:p w:rsidR="00A44E5D" w:rsidRPr="00CC5A11" w:rsidRDefault="00A44E5D" w:rsidP="00A44E5D">
            <w:pPr>
              <w:spacing w:after="120"/>
              <w:jc w:val="center"/>
              <w:rPr>
                <w:rFonts w:cs="Times New Roman"/>
                <w:bCs/>
                <w:sz w:val="20"/>
                <w:szCs w:val="20"/>
              </w:rPr>
            </w:pPr>
            <w:r w:rsidRPr="00CC5A11">
              <w:rPr>
                <w:rFonts w:cs="Times New Roman"/>
                <w:bCs/>
                <w:sz w:val="20"/>
                <w:szCs w:val="20"/>
              </w:rPr>
              <w:t>тыс.</w:t>
            </w:r>
          </w:p>
        </w:tc>
        <w:tc>
          <w:tcPr>
            <w:tcW w:w="1397" w:type="dxa"/>
            <w:noWrap/>
            <w:vAlign w:val="center"/>
            <w:hideMark/>
          </w:tcPr>
          <w:p w:rsidR="00A44E5D" w:rsidRPr="00CC5A11" w:rsidRDefault="00A44E5D" w:rsidP="00A44E5D">
            <w:pPr>
              <w:spacing w:after="120"/>
              <w:jc w:val="center"/>
              <w:rPr>
                <w:rFonts w:cs="Times New Roman"/>
                <w:bCs/>
                <w:sz w:val="20"/>
                <w:szCs w:val="20"/>
              </w:rPr>
            </w:pPr>
            <w:r w:rsidRPr="00CC5A11">
              <w:rPr>
                <w:rFonts w:cs="Times New Roman"/>
                <w:bCs/>
                <w:sz w:val="20"/>
                <w:szCs w:val="20"/>
              </w:rPr>
              <w:t>млн.</w:t>
            </w:r>
          </w:p>
        </w:tc>
      </w:tr>
      <w:tr w:rsidR="00A44E5D" w:rsidRPr="00B50D0C" w:rsidTr="00A44E5D">
        <w:trPr>
          <w:trHeight w:val="255"/>
        </w:trPr>
        <w:tc>
          <w:tcPr>
            <w:tcW w:w="2977" w:type="dxa"/>
            <w:vMerge/>
            <w:vAlign w:val="center"/>
            <w:hideMark/>
          </w:tcPr>
          <w:p w:rsidR="00A44E5D" w:rsidRPr="00CC5A11" w:rsidRDefault="00A44E5D" w:rsidP="00A44E5D">
            <w:pPr>
              <w:spacing w:after="120"/>
              <w:rPr>
                <w:rFonts w:cs="Times New Roman"/>
                <w:sz w:val="20"/>
                <w:szCs w:val="20"/>
              </w:rPr>
            </w:pPr>
          </w:p>
        </w:tc>
        <w:tc>
          <w:tcPr>
            <w:tcW w:w="836" w:type="dxa"/>
            <w:noWrap/>
            <w:vAlign w:val="center"/>
            <w:hideMark/>
          </w:tcPr>
          <w:p w:rsidR="00A44E5D" w:rsidRPr="00CC5A11" w:rsidRDefault="00A44E5D" w:rsidP="00A44E5D">
            <w:pPr>
              <w:spacing w:after="120"/>
              <w:jc w:val="center"/>
              <w:rPr>
                <w:rFonts w:cs="Times New Roman"/>
                <w:bCs/>
                <w:sz w:val="20"/>
                <w:szCs w:val="20"/>
              </w:rPr>
            </w:pPr>
            <w:r w:rsidRPr="00CC5A11">
              <w:rPr>
                <w:rFonts w:cs="Times New Roman"/>
                <w:bCs/>
                <w:sz w:val="20"/>
                <w:szCs w:val="20"/>
              </w:rPr>
              <w:t>тонн</w:t>
            </w:r>
          </w:p>
        </w:tc>
        <w:tc>
          <w:tcPr>
            <w:tcW w:w="1397" w:type="dxa"/>
            <w:noWrap/>
            <w:vAlign w:val="center"/>
            <w:hideMark/>
          </w:tcPr>
          <w:p w:rsidR="00A44E5D" w:rsidRPr="00CC5A11" w:rsidRDefault="00A44E5D" w:rsidP="00A44E5D">
            <w:pPr>
              <w:spacing w:after="120"/>
              <w:jc w:val="center"/>
              <w:rPr>
                <w:rFonts w:cs="Times New Roman"/>
                <w:bCs/>
                <w:sz w:val="20"/>
                <w:szCs w:val="20"/>
              </w:rPr>
            </w:pPr>
            <w:proofErr w:type="spellStart"/>
            <w:r w:rsidRPr="00CC5A11">
              <w:rPr>
                <w:rFonts w:cs="Times New Roman"/>
                <w:bCs/>
                <w:sz w:val="20"/>
                <w:szCs w:val="20"/>
              </w:rPr>
              <w:t>долл</w:t>
            </w:r>
            <w:proofErr w:type="gramStart"/>
            <w:r w:rsidRPr="00CC5A11">
              <w:rPr>
                <w:rFonts w:cs="Times New Roman"/>
                <w:bCs/>
                <w:sz w:val="20"/>
                <w:szCs w:val="20"/>
              </w:rPr>
              <w:t>.С</w:t>
            </w:r>
            <w:proofErr w:type="gramEnd"/>
            <w:r w:rsidRPr="00CC5A11">
              <w:rPr>
                <w:rFonts w:cs="Times New Roman"/>
                <w:bCs/>
                <w:sz w:val="20"/>
                <w:szCs w:val="20"/>
              </w:rPr>
              <w:t>ША</w:t>
            </w:r>
            <w:proofErr w:type="spellEnd"/>
          </w:p>
        </w:tc>
        <w:tc>
          <w:tcPr>
            <w:tcW w:w="836" w:type="dxa"/>
            <w:noWrap/>
            <w:vAlign w:val="center"/>
            <w:hideMark/>
          </w:tcPr>
          <w:p w:rsidR="00A44E5D" w:rsidRPr="00CC5A11" w:rsidRDefault="00A44E5D" w:rsidP="00A44E5D">
            <w:pPr>
              <w:spacing w:after="120"/>
              <w:jc w:val="center"/>
              <w:rPr>
                <w:rFonts w:cs="Times New Roman"/>
                <w:bCs/>
                <w:sz w:val="20"/>
                <w:szCs w:val="20"/>
              </w:rPr>
            </w:pPr>
            <w:r w:rsidRPr="00CC5A11">
              <w:rPr>
                <w:rFonts w:cs="Times New Roman"/>
                <w:bCs/>
                <w:sz w:val="20"/>
                <w:szCs w:val="20"/>
              </w:rPr>
              <w:t>тонн</w:t>
            </w:r>
          </w:p>
        </w:tc>
        <w:tc>
          <w:tcPr>
            <w:tcW w:w="1397" w:type="dxa"/>
            <w:noWrap/>
            <w:vAlign w:val="center"/>
            <w:hideMark/>
          </w:tcPr>
          <w:p w:rsidR="00A44E5D" w:rsidRPr="00CC5A11" w:rsidRDefault="00A44E5D" w:rsidP="00A44E5D">
            <w:pPr>
              <w:spacing w:after="120"/>
              <w:jc w:val="center"/>
              <w:rPr>
                <w:rFonts w:cs="Times New Roman"/>
                <w:bCs/>
                <w:sz w:val="20"/>
                <w:szCs w:val="20"/>
              </w:rPr>
            </w:pPr>
            <w:proofErr w:type="spellStart"/>
            <w:r w:rsidRPr="00CC5A11">
              <w:rPr>
                <w:rFonts w:cs="Times New Roman"/>
                <w:bCs/>
                <w:sz w:val="20"/>
                <w:szCs w:val="20"/>
              </w:rPr>
              <w:t>долл</w:t>
            </w:r>
            <w:proofErr w:type="gramStart"/>
            <w:r w:rsidRPr="00CC5A11">
              <w:rPr>
                <w:rFonts w:cs="Times New Roman"/>
                <w:bCs/>
                <w:sz w:val="20"/>
                <w:szCs w:val="20"/>
              </w:rPr>
              <w:t>.С</w:t>
            </w:r>
            <w:proofErr w:type="gramEnd"/>
            <w:r w:rsidRPr="00CC5A11">
              <w:rPr>
                <w:rFonts w:cs="Times New Roman"/>
                <w:bCs/>
                <w:sz w:val="20"/>
                <w:szCs w:val="20"/>
              </w:rPr>
              <w:t>ША</w:t>
            </w:r>
            <w:proofErr w:type="spellEnd"/>
          </w:p>
        </w:tc>
        <w:tc>
          <w:tcPr>
            <w:tcW w:w="836" w:type="dxa"/>
            <w:noWrap/>
            <w:vAlign w:val="center"/>
            <w:hideMark/>
          </w:tcPr>
          <w:p w:rsidR="00A44E5D" w:rsidRPr="00CC5A11" w:rsidRDefault="00A44E5D" w:rsidP="00A44E5D">
            <w:pPr>
              <w:spacing w:after="120"/>
              <w:jc w:val="center"/>
              <w:rPr>
                <w:rFonts w:cs="Times New Roman"/>
                <w:bCs/>
                <w:sz w:val="20"/>
                <w:szCs w:val="20"/>
              </w:rPr>
            </w:pPr>
            <w:r w:rsidRPr="00CC5A11">
              <w:rPr>
                <w:rFonts w:cs="Times New Roman"/>
                <w:bCs/>
                <w:sz w:val="20"/>
                <w:szCs w:val="20"/>
              </w:rPr>
              <w:t>тонн</w:t>
            </w:r>
          </w:p>
        </w:tc>
        <w:tc>
          <w:tcPr>
            <w:tcW w:w="1397" w:type="dxa"/>
            <w:noWrap/>
            <w:vAlign w:val="center"/>
            <w:hideMark/>
          </w:tcPr>
          <w:p w:rsidR="00A44E5D" w:rsidRPr="00CC5A11" w:rsidRDefault="00A44E5D" w:rsidP="00A44E5D">
            <w:pPr>
              <w:spacing w:after="120"/>
              <w:jc w:val="center"/>
              <w:rPr>
                <w:rFonts w:cs="Times New Roman"/>
                <w:bCs/>
                <w:sz w:val="20"/>
                <w:szCs w:val="20"/>
              </w:rPr>
            </w:pPr>
            <w:proofErr w:type="spellStart"/>
            <w:r w:rsidRPr="00CC5A11">
              <w:rPr>
                <w:rFonts w:cs="Times New Roman"/>
                <w:bCs/>
                <w:sz w:val="20"/>
                <w:szCs w:val="20"/>
              </w:rPr>
              <w:t>долл</w:t>
            </w:r>
            <w:proofErr w:type="gramStart"/>
            <w:r w:rsidRPr="00CC5A11">
              <w:rPr>
                <w:rFonts w:cs="Times New Roman"/>
                <w:bCs/>
                <w:sz w:val="20"/>
                <w:szCs w:val="20"/>
              </w:rPr>
              <w:t>.С</w:t>
            </w:r>
            <w:proofErr w:type="gramEnd"/>
            <w:r w:rsidRPr="00CC5A11">
              <w:rPr>
                <w:rFonts w:cs="Times New Roman"/>
                <w:bCs/>
                <w:sz w:val="20"/>
                <w:szCs w:val="20"/>
              </w:rPr>
              <w:t>ША</w:t>
            </w:r>
            <w:proofErr w:type="spellEnd"/>
          </w:p>
        </w:tc>
      </w:tr>
      <w:tr w:rsidR="00A44E5D" w:rsidRPr="00B50D0C" w:rsidTr="00A44E5D">
        <w:trPr>
          <w:trHeight w:val="255"/>
        </w:trPr>
        <w:tc>
          <w:tcPr>
            <w:tcW w:w="2977" w:type="dxa"/>
            <w:vAlign w:val="center"/>
            <w:hideMark/>
          </w:tcPr>
          <w:p w:rsidR="00A44E5D" w:rsidRPr="00CC5A11" w:rsidRDefault="00A44E5D" w:rsidP="00A44E5D">
            <w:pPr>
              <w:spacing w:after="120"/>
              <w:rPr>
                <w:rFonts w:cs="Times New Roman"/>
                <w:sz w:val="20"/>
                <w:szCs w:val="20"/>
              </w:rPr>
            </w:pPr>
            <w:r w:rsidRPr="00CC5A11">
              <w:rPr>
                <w:rFonts w:cs="Times New Roman"/>
                <w:sz w:val="20"/>
                <w:szCs w:val="20"/>
              </w:rPr>
              <w:t>Нефть сырая</w:t>
            </w:r>
          </w:p>
        </w:tc>
        <w:tc>
          <w:tcPr>
            <w:tcW w:w="836"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7,2%</w:t>
            </w:r>
          </w:p>
        </w:tc>
        <w:tc>
          <w:tcPr>
            <w:tcW w:w="1397"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-42,0%</w:t>
            </w:r>
          </w:p>
        </w:tc>
        <w:tc>
          <w:tcPr>
            <w:tcW w:w="836"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8,7%</w:t>
            </w:r>
          </w:p>
        </w:tc>
        <w:tc>
          <w:tcPr>
            <w:tcW w:w="1397"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-42,4%</w:t>
            </w:r>
          </w:p>
        </w:tc>
        <w:tc>
          <w:tcPr>
            <w:tcW w:w="836"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-5,4%</w:t>
            </w:r>
          </w:p>
        </w:tc>
        <w:tc>
          <w:tcPr>
            <w:tcW w:w="1397"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-35,1%</w:t>
            </w:r>
          </w:p>
        </w:tc>
      </w:tr>
      <w:tr w:rsidR="00A44E5D" w:rsidRPr="00B50D0C" w:rsidTr="00A44E5D">
        <w:trPr>
          <w:trHeight w:val="255"/>
        </w:trPr>
        <w:tc>
          <w:tcPr>
            <w:tcW w:w="2977" w:type="dxa"/>
            <w:noWrap/>
            <w:vAlign w:val="center"/>
            <w:hideMark/>
          </w:tcPr>
          <w:p w:rsidR="00A44E5D" w:rsidRPr="00CC5A11" w:rsidRDefault="00A44E5D" w:rsidP="00A44E5D">
            <w:pPr>
              <w:spacing w:after="120"/>
              <w:rPr>
                <w:rFonts w:cs="Times New Roman"/>
                <w:sz w:val="20"/>
                <w:szCs w:val="20"/>
              </w:rPr>
            </w:pPr>
            <w:r w:rsidRPr="00CC5A11">
              <w:rPr>
                <w:rFonts w:cs="Times New Roman"/>
                <w:sz w:val="20"/>
                <w:szCs w:val="20"/>
              </w:rPr>
              <w:t>Бензин автомобильный</w:t>
            </w:r>
          </w:p>
        </w:tc>
        <w:tc>
          <w:tcPr>
            <w:tcW w:w="836"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-0,1%</w:t>
            </w:r>
          </w:p>
        </w:tc>
        <w:tc>
          <w:tcPr>
            <w:tcW w:w="1397"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-28,1%</w:t>
            </w:r>
          </w:p>
        </w:tc>
        <w:tc>
          <w:tcPr>
            <w:tcW w:w="836"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2,5%</w:t>
            </w:r>
          </w:p>
        </w:tc>
        <w:tc>
          <w:tcPr>
            <w:tcW w:w="1397"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-36,5%</w:t>
            </w:r>
          </w:p>
        </w:tc>
        <w:tc>
          <w:tcPr>
            <w:tcW w:w="836"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-2,5%</w:t>
            </w:r>
          </w:p>
        </w:tc>
        <w:tc>
          <w:tcPr>
            <w:tcW w:w="1397"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-16,2%</w:t>
            </w:r>
          </w:p>
        </w:tc>
      </w:tr>
      <w:tr w:rsidR="00A44E5D" w:rsidRPr="00B50D0C" w:rsidTr="00A44E5D">
        <w:trPr>
          <w:trHeight w:val="510"/>
        </w:trPr>
        <w:tc>
          <w:tcPr>
            <w:tcW w:w="2977" w:type="dxa"/>
            <w:vAlign w:val="center"/>
            <w:hideMark/>
          </w:tcPr>
          <w:p w:rsidR="00A44E5D" w:rsidRPr="00CC5A11" w:rsidRDefault="00A44E5D" w:rsidP="00A44E5D">
            <w:pPr>
              <w:spacing w:after="120"/>
              <w:rPr>
                <w:rFonts w:cs="Times New Roman"/>
                <w:sz w:val="20"/>
                <w:szCs w:val="20"/>
              </w:rPr>
            </w:pPr>
            <w:r w:rsidRPr="00CC5A11">
              <w:rPr>
                <w:rFonts w:cs="Times New Roman"/>
                <w:sz w:val="20"/>
                <w:szCs w:val="20"/>
              </w:rPr>
              <w:t xml:space="preserve">Дизельное топливо, не содержащее </w:t>
            </w:r>
            <w:proofErr w:type="spellStart"/>
            <w:r w:rsidRPr="00CC5A11">
              <w:rPr>
                <w:rFonts w:cs="Times New Roman"/>
                <w:sz w:val="20"/>
                <w:szCs w:val="20"/>
              </w:rPr>
              <w:t>биодизель</w:t>
            </w:r>
            <w:proofErr w:type="spellEnd"/>
          </w:p>
        </w:tc>
        <w:tc>
          <w:tcPr>
            <w:tcW w:w="836"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10,7%</w:t>
            </w:r>
          </w:p>
        </w:tc>
        <w:tc>
          <w:tcPr>
            <w:tcW w:w="1397"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-33,0%</w:t>
            </w:r>
          </w:p>
        </w:tc>
        <w:tc>
          <w:tcPr>
            <w:tcW w:w="836"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12,0%</w:t>
            </w:r>
          </w:p>
        </w:tc>
        <w:tc>
          <w:tcPr>
            <w:tcW w:w="1397"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-32,8%</w:t>
            </w:r>
          </w:p>
        </w:tc>
        <w:tc>
          <w:tcPr>
            <w:tcW w:w="836"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-6,9%</w:t>
            </w:r>
          </w:p>
        </w:tc>
        <w:tc>
          <w:tcPr>
            <w:tcW w:w="1397"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-34,7%</w:t>
            </w:r>
          </w:p>
        </w:tc>
      </w:tr>
      <w:tr w:rsidR="00A44E5D" w:rsidRPr="00B50D0C" w:rsidTr="00A44E5D">
        <w:trPr>
          <w:trHeight w:val="510"/>
        </w:trPr>
        <w:tc>
          <w:tcPr>
            <w:tcW w:w="2977" w:type="dxa"/>
            <w:vAlign w:val="center"/>
            <w:hideMark/>
          </w:tcPr>
          <w:p w:rsidR="00A44E5D" w:rsidRPr="00CC5A11" w:rsidRDefault="00A44E5D" w:rsidP="00A44E5D">
            <w:pPr>
              <w:spacing w:after="120"/>
              <w:rPr>
                <w:rFonts w:cs="Times New Roman"/>
                <w:sz w:val="20"/>
                <w:szCs w:val="20"/>
              </w:rPr>
            </w:pPr>
            <w:r w:rsidRPr="00CC5A11">
              <w:rPr>
                <w:rFonts w:cs="Times New Roman"/>
                <w:sz w:val="20"/>
                <w:szCs w:val="20"/>
              </w:rPr>
              <w:t xml:space="preserve">Топлива жидкие, не содержащие </w:t>
            </w:r>
            <w:proofErr w:type="spellStart"/>
            <w:r w:rsidRPr="00CC5A11">
              <w:rPr>
                <w:rFonts w:cs="Times New Roman"/>
                <w:sz w:val="20"/>
                <w:szCs w:val="20"/>
              </w:rPr>
              <w:t>биодизель</w:t>
            </w:r>
            <w:proofErr w:type="spellEnd"/>
          </w:p>
        </w:tc>
        <w:tc>
          <w:tcPr>
            <w:tcW w:w="836"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9,7%</w:t>
            </w:r>
          </w:p>
        </w:tc>
        <w:tc>
          <w:tcPr>
            <w:tcW w:w="1397"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-39,0%</w:t>
            </w:r>
          </w:p>
        </w:tc>
        <w:tc>
          <w:tcPr>
            <w:tcW w:w="836"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13,8%</w:t>
            </w:r>
          </w:p>
        </w:tc>
        <w:tc>
          <w:tcPr>
            <w:tcW w:w="1397"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-36,8%</w:t>
            </w:r>
          </w:p>
        </w:tc>
        <w:tc>
          <w:tcPr>
            <w:tcW w:w="836"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-74,1%</w:t>
            </w:r>
          </w:p>
        </w:tc>
        <w:tc>
          <w:tcPr>
            <w:tcW w:w="1397"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-87,5%</w:t>
            </w:r>
          </w:p>
        </w:tc>
      </w:tr>
      <w:tr w:rsidR="00A44E5D" w:rsidRPr="00B50D0C" w:rsidTr="00A44E5D">
        <w:trPr>
          <w:trHeight w:val="510"/>
        </w:trPr>
        <w:tc>
          <w:tcPr>
            <w:tcW w:w="2977" w:type="dxa"/>
            <w:vAlign w:val="center"/>
            <w:hideMark/>
          </w:tcPr>
          <w:p w:rsidR="00A44E5D" w:rsidRPr="00CC5A11" w:rsidRDefault="00A44E5D" w:rsidP="00A44E5D">
            <w:pPr>
              <w:spacing w:after="120"/>
              <w:rPr>
                <w:rFonts w:cs="Times New Roman"/>
                <w:sz w:val="20"/>
                <w:szCs w:val="20"/>
              </w:rPr>
            </w:pPr>
            <w:r w:rsidRPr="00CC5A11">
              <w:rPr>
                <w:rFonts w:cs="Times New Roman"/>
                <w:sz w:val="20"/>
                <w:szCs w:val="20"/>
              </w:rPr>
              <w:t xml:space="preserve">Газ природный сжиженный, </w:t>
            </w:r>
            <w:proofErr w:type="spellStart"/>
            <w:r w:rsidRPr="00CC5A11">
              <w:rPr>
                <w:rFonts w:cs="Times New Roman"/>
                <w:i/>
                <w:iCs/>
                <w:sz w:val="20"/>
                <w:szCs w:val="20"/>
              </w:rPr>
              <w:t>млн</w:t>
            </w:r>
            <w:proofErr w:type="gramStart"/>
            <w:r w:rsidRPr="00CC5A11">
              <w:rPr>
                <w:rFonts w:cs="Times New Roman"/>
                <w:i/>
                <w:iCs/>
                <w:sz w:val="20"/>
                <w:szCs w:val="20"/>
              </w:rPr>
              <w:t>.к</w:t>
            </w:r>
            <w:proofErr w:type="gramEnd"/>
            <w:r w:rsidRPr="00CC5A11">
              <w:rPr>
                <w:rFonts w:cs="Times New Roman"/>
                <w:i/>
                <w:iCs/>
                <w:sz w:val="20"/>
                <w:szCs w:val="20"/>
              </w:rPr>
              <w:t>уб.м</w:t>
            </w:r>
            <w:proofErr w:type="spellEnd"/>
          </w:p>
        </w:tc>
        <w:tc>
          <w:tcPr>
            <w:tcW w:w="836"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-5,0%</w:t>
            </w:r>
          </w:p>
        </w:tc>
        <w:tc>
          <w:tcPr>
            <w:tcW w:w="1397"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1,6%</w:t>
            </w:r>
          </w:p>
        </w:tc>
        <w:tc>
          <w:tcPr>
            <w:tcW w:w="836"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-5,0%</w:t>
            </w:r>
          </w:p>
        </w:tc>
        <w:tc>
          <w:tcPr>
            <w:tcW w:w="1397"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1,6%</w:t>
            </w:r>
          </w:p>
        </w:tc>
        <w:tc>
          <w:tcPr>
            <w:tcW w:w="836"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w:t>
            </w:r>
          </w:p>
        </w:tc>
        <w:tc>
          <w:tcPr>
            <w:tcW w:w="1397"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w:t>
            </w:r>
          </w:p>
        </w:tc>
      </w:tr>
      <w:tr w:rsidR="00A44E5D" w:rsidRPr="00B50D0C" w:rsidTr="00A44E5D">
        <w:trPr>
          <w:trHeight w:val="255"/>
        </w:trPr>
        <w:tc>
          <w:tcPr>
            <w:tcW w:w="2977" w:type="dxa"/>
            <w:noWrap/>
            <w:vAlign w:val="center"/>
            <w:hideMark/>
          </w:tcPr>
          <w:p w:rsidR="00A44E5D" w:rsidRPr="00CC5A11" w:rsidRDefault="00A44E5D" w:rsidP="00A44E5D">
            <w:pPr>
              <w:spacing w:after="120"/>
              <w:rPr>
                <w:rFonts w:cs="Times New Roman"/>
                <w:sz w:val="20"/>
                <w:szCs w:val="20"/>
              </w:rPr>
            </w:pPr>
            <w:r w:rsidRPr="00CC5A11">
              <w:rPr>
                <w:rFonts w:cs="Times New Roman"/>
                <w:sz w:val="20"/>
                <w:szCs w:val="20"/>
              </w:rPr>
              <w:t xml:space="preserve">Газ природный, </w:t>
            </w:r>
            <w:proofErr w:type="spellStart"/>
            <w:r w:rsidRPr="00CC5A11">
              <w:rPr>
                <w:rFonts w:cs="Times New Roman"/>
                <w:i/>
                <w:iCs/>
                <w:sz w:val="20"/>
                <w:szCs w:val="20"/>
              </w:rPr>
              <w:t>млрд</w:t>
            </w:r>
            <w:proofErr w:type="gramStart"/>
            <w:r w:rsidRPr="00CC5A11">
              <w:rPr>
                <w:rFonts w:cs="Times New Roman"/>
                <w:i/>
                <w:iCs/>
                <w:sz w:val="20"/>
                <w:szCs w:val="20"/>
              </w:rPr>
              <w:t>.к</w:t>
            </w:r>
            <w:proofErr w:type="gramEnd"/>
            <w:r w:rsidRPr="00CC5A11">
              <w:rPr>
                <w:rFonts w:cs="Times New Roman"/>
                <w:i/>
                <w:iCs/>
                <w:sz w:val="20"/>
                <w:szCs w:val="20"/>
              </w:rPr>
              <w:t>уб.м</w:t>
            </w:r>
            <w:proofErr w:type="spellEnd"/>
          </w:p>
        </w:tc>
        <w:tc>
          <w:tcPr>
            <w:tcW w:w="836"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-7,8%</w:t>
            </w:r>
          </w:p>
        </w:tc>
        <w:tc>
          <w:tcPr>
            <w:tcW w:w="1397"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-32,9%</w:t>
            </w:r>
          </w:p>
        </w:tc>
        <w:tc>
          <w:tcPr>
            <w:tcW w:w="836"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1,0%</w:t>
            </w:r>
          </w:p>
        </w:tc>
        <w:tc>
          <w:tcPr>
            <w:tcW w:w="1397"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w:t>
            </w:r>
          </w:p>
        </w:tc>
        <w:tc>
          <w:tcPr>
            <w:tcW w:w="836"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-29,4%</w:t>
            </w:r>
          </w:p>
        </w:tc>
        <w:tc>
          <w:tcPr>
            <w:tcW w:w="1397" w:type="dxa"/>
            <w:noWrap/>
            <w:vAlign w:val="center"/>
            <w:hideMark/>
          </w:tcPr>
          <w:p w:rsidR="00A44E5D" w:rsidRPr="00CC5A11" w:rsidRDefault="00A44E5D" w:rsidP="00A44E5D">
            <w:pPr>
              <w:spacing w:after="120"/>
              <w:jc w:val="center"/>
              <w:rPr>
                <w:rFonts w:cs="Times New Roman"/>
                <w:sz w:val="20"/>
                <w:szCs w:val="20"/>
              </w:rPr>
            </w:pPr>
            <w:r w:rsidRPr="00CC5A11">
              <w:rPr>
                <w:rFonts w:cs="Times New Roman"/>
                <w:sz w:val="20"/>
                <w:szCs w:val="20"/>
              </w:rPr>
              <w:t>-</w:t>
            </w:r>
          </w:p>
        </w:tc>
      </w:tr>
    </w:tbl>
    <w:p w:rsidR="00A44E5D" w:rsidRPr="00CC5A11" w:rsidRDefault="00A44E5D" w:rsidP="00A44E5D">
      <w:pPr>
        <w:spacing w:after="120"/>
        <w:ind w:firstLine="709"/>
        <w:jc w:val="both"/>
        <w:rPr>
          <w:rFonts w:ascii="Times New Roman" w:hAnsi="Times New Roman" w:cs="Times New Roman"/>
          <w:i/>
          <w:sz w:val="20"/>
          <w:szCs w:val="24"/>
        </w:rPr>
      </w:pPr>
      <w:r w:rsidRPr="00CC5A11">
        <w:rPr>
          <w:rFonts w:ascii="Times New Roman" w:hAnsi="Times New Roman" w:cs="Times New Roman"/>
          <w:i/>
          <w:sz w:val="20"/>
          <w:szCs w:val="24"/>
        </w:rPr>
        <w:t>Источник: ФТС</w:t>
      </w:r>
    </w:p>
    <w:p w:rsidR="00A44E5D" w:rsidRDefault="00A44E5D" w:rsidP="00A44E5D">
      <w:pPr>
        <w:spacing w:after="120"/>
        <w:ind w:firstLine="709"/>
        <w:jc w:val="both"/>
        <w:rPr>
          <w:rFonts w:ascii="Times New Roman" w:hAnsi="Times New Roman" w:cs="Times New Roman"/>
          <w:bCs/>
          <w:i/>
          <w:sz w:val="24"/>
          <w:szCs w:val="24"/>
        </w:rPr>
      </w:pPr>
    </w:p>
    <w:p w:rsidR="00A44E5D" w:rsidRPr="00D50C42" w:rsidRDefault="00A44E5D" w:rsidP="00A24C32">
      <w:pPr>
        <w:spacing w:after="120" w:line="240" w:lineRule="auto"/>
        <w:ind w:firstLine="709"/>
        <w:jc w:val="both"/>
        <w:rPr>
          <w:rFonts w:ascii="Times New Roman" w:hAnsi="Times New Roman" w:cs="Times New Roman"/>
          <w:sz w:val="26"/>
          <w:szCs w:val="26"/>
        </w:rPr>
      </w:pPr>
      <w:proofErr w:type="gramStart"/>
      <w:r w:rsidRPr="00D50C42">
        <w:rPr>
          <w:rFonts w:ascii="Times New Roman" w:hAnsi="Times New Roman" w:cs="Times New Roman"/>
          <w:sz w:val="26"/>
          <w:szCs w:val="26"/>
        </w:rPr>
        <w:t xml:space="preserve">В результате применения экспортной пошлины внутренние и внешние цены различаются на ее величину (за вычетом издержек транспортировки на внешний рынок), что, как предполагается, обеспечивает </w:t>
      </w:r>
      <w:proofErr w:type="spellStart"/>
      <w:r w:rsidRPr="00D50C42">
        <w:rPr>
          <w:rFonts w:ascii="Times New Roman" w:hAnsi="Times New Roman" w:cs="Times New Roman"/>
          <w:sz w:val="26"/>
          <w:szCs w:val="26"/>
        </w:rPr>
        <w:t>равновыгодность</w:t>
      </w:r>
      <w:proofErr w:type="spellEnd"/>
      <w:r w:rsidRPr="00D50C42">
        <w:rPr>
          <w:rFonts w:ascii="Times New Roman" w:hAnsi="Times New Roman" w:cs="Times New Roman"/>
          <w:sz w:val="26"/>
          <w:szCs w:val="26"/>
        </w:rPr>
        <w:t xml:space="preserve"> для производителя поставки тонны нефти на внутренний и внешний рынки.</w:t>
      </w:r>
      <w:proofErr w:type="gramEnd"/>
      <w:r w:rsidRPr="00D50C42">
        <w:rPr>
          <w:rFonts w:ascii="Times New Roman" w:hAnsi="Times New Roman" w:cs="Times New Roman"/>
          <w:sz w:val="26"/>
          <w:szCs w:val="26"/>
        </w:rPr>
        <w:t xml:space="preserve"> Нефть, экспортируемая в страны Таможенного союза, пошлиной не облагается. Регулирующая роль экспортных пошлин заключается, во влиянии на объемы вывоза сырья и полуфабрикатов (в том числе нефти) с целью обеспечения потребностей внутреннего рынка. Кроме того, в стимулировании переработки (обработки) указанной продукции на территории России и последующего экспорта товаров с высокой долей добавленной стоимости.</w:t>
      </w:r>
      <w:r w:rsidRPr="00D50C42">
        <w:rPr>
          <w:rFonts w:ascii="Times New Roman" w:hAnsi="Times New Roman"/>
          <w:sz w:val="26"/>
          <w:szCs w:val="26"/>
        </w:rPr>
        <w:t xml:space="preserve"> Среди ведущих нефтедобывающих стран Россия является лидером по доле продукции нефтепереработки в экспорте (23%) наравне с Кувейтом.</w:t>
      </w:r>
    </w:p>
    <w:p w:rsidR="00A44E5D" w:rsidRPr="00D50C42" w:rsidRDefault="00A44E5D" w:rsidP="00A24C32">
      <w:pPr>
        <w:spacing w:after="120" w:line="240" w:lineRule="auto"/>
        <w:ind w:firstLine="709"/>
        <w:jc w:val="both"/>
        <w:rPr>
          <w:rFonts w:ascii="Times New Roman" w:hAnsi="Times New Roman" w:cs="Times New Roman"/>
          <w:bCs/>
          <w:sz w:val="26"/>
          <w:szCs w:val="26"/>
        </w:rPr>
      </w:pPr>
      <w:r w:rsidRPr="00D50C42">
        <w:rPr>
          <w:rFonts w:ascii="Times New Roman" w:hAnsi="Times New Roman" w:cs="Times New Roman"/>
          <w:bCs/>
          <w:i/>
          <w:sz w:val="26"/>
          <w:szCs w:val="26"/>
        </w:rPr>
        <w:t>Акцизами</w:t>
      </w:r>
      <w:r w:rsidRPr="00D50C42">
        <w:rPr>
          <w:rFonts w:ascii="Times New Roman" w:hAnsi="Times New Roman" w:cs="Times New Roman"/>
          <w:bCs/>
          <w:sz w:val="26"/>
          <w:szCs w:val="26"/>
        </w:rPr>
        <w:t xml:space="preserve"> облагаются только нефтепродукты, реализованные на внутреннем рынке, включая импортируемые нефтепродукты. Ставки акциза на нефтепродукты дифференцированы по принципу снижения ставок акциза по мере повышения класса </w:t>
      </w:r>
      <w:r w:rsidRPr="00D50C42">
        <w:rPr>
          <w:rFonts w:ascii="Times New Roman" w:hAnsi="Times New Roman" w:cs="Times New Roman"/>
          <w:bCs/>
          <w:sz w:val="26"/>
          <w:szCs w:val="26"/>
        </w:rPr>
        <w:lastRenderedPageBreak/>
        <w:t>автомобильного бензина и дизельного топлива. В целях стимулирования производства высококачественных моторных топлив размер ставок акциза на автомобильный бензин и дизельное топливо 4-го и 5-го классов снижены относительно 3-го класса. При этом льготных условий при акцизном налогообложении не предусмотрено.</w:t>
      </w:r>
    </w:p>
    <w:p w:rsidR="00A44E5D" w:rsidRPr="00D50C42" w:rsidRDefault="00A44E5D" w:rsidP="00A24C32">
      <w:pPr>
        <w:spacing w:after="120" w:line="240" w:lineRule="auto"/>
        <w:ind w:firstLine="709"/>
        <w:jc w:val="both"/>
        <w:rPr>
          <w:rFonts w:ascii="Times New Roman" w:hAnsi="Times New Roman" w:cs="Times New Roman"/>
          <w:bCs/>
          <w:sz w:val="26"/>
          <w:szCs w:val="26"/>
        </w:rPr>
      </w:pPr>
      <w:proofErr w:type="gramStart"/>
      <w:r w:rsidRPr="00D50C42">
        <w:rPr>
          <w:rFonts w:ascii="Times New Roman" w:hAnsi="Times New Roman" w:cs="Times New Roman"/>
          <w:bCs/>
          <w:sz w:val="26"/>
          <w:szCs w:val="26"/>
        </w:rPr>
        <w:t>Техническим регламентом Таможенного Союза «О требованиях к автомобильному и авиационному бензину, дизельному и судовому топливу, топливу для реактивных двигателей и мазуту» было установлено, что на территории Российской Федерации не допускается производство и реализация автомобильного бензина и дизельного топлива 3-го класса – с 1 января 2015 года, 4-го класса – с 1 января 2016 года.</w:t>
      </w:r>
      <w:proofErr w:type="gramEnd"/>
    </w:p>
    <w:p w:rsidR="00A44E5D" w:rsidRPr="00D50C42" w:rsidRDefault="00A44E5D" w:rsidP="00A24C32">
      <w:pPr>
        <w:spacing w:after="120" w:line="240" w:lineRule="auto"/>
        <w:ind w:firstLine="709"/>
        <w:jc w:val="both"/>
        <w:rPr>
          <w:rFonts w:ascii="Times New Roman" w:hAnsi="Times New Roman" w:cs="Times New Roman"/>
          <w:bCs/>
          <w:sz w:val="26"/>
          <w:szCs w:val="26"/>
        </w:rPr>
      </w:pPr>
      <w:r w:rsidRPr="00D50C42">
        <w:rPr>
          <w:rFonts w:ascii="Times New Roman" w:hAnsi="Times New Roman" w:cs="Times New Roman"/>
          <w:bCs/>
          <w:sz w:val="26"/>
          <w:szCs w:val="26"/>
        </w:rPr>
        <w:t>В целях повышения собираемости акциза на дизельное топливо, реализуемого под видом топлива печного бытового, к подакцизным товарам отнесено топливо печное бытовое, вырабатываемое из дизельных фракций прямой и вторичной перегонки с температурой кипения в диапазоне 280-360 градусов. При этом ставка акциза на указанное топливо установлена в размере, сопоставимом ставке акциза на дизельное топливо, соответствующее классам 3-5.</w:t>
      </w:r>
    </w:p>
    <w:p w:rsidR="00A44E5D" w:rsidRPr="00D50C42" w:rsidRDefault="00A44E5D" w:rsidP="00A24C32">
      <w:pPr>
        <w:spacing w:after="120" w:line="240" w:lineRule="auto"/>
        <w:ind w:firstLine="709"/>
        <w:jc w:val="both"/>
        <w:rPr>
          <w:rFonts w:ascii="Times New Roman" w:hAnsi="Times New Roman" w:cs="Times New Roman"/>
          <w:bCs/>
          <w:sz w:val="26"/>
          <w:szCs w:val="26"/>
        </w:rPr>
      </w:pPr>
      <w:r w:rsidRPr="00D50C42">
        <w:rPr>
          <w:rFonts w:ascii="Times New Roman" w:hAnsi="Times New Roman" w:cs="Times New Roman"/>
          <w:bCs/>
          <w:sz w:val="26"/>
          <w:szCs w:val="26"/>
        </w:rPr>
        <w:t xml:space="preserve">В соответствии с Законом РФ № 366-ФЗ в перечень подакцизных товаров дополнительно включены: бензол, параксилол, </w:t>
      </w:r>
      <w:proofErr w:type="spellStart"/>
      <w:r w:rsidRPr="00D50C42">
        <w:rPr>
          <w:rFonts w:ascii="Times New Roman" w:hAnsi="Times New Roman" w:cs="Times New Roman"/>
          <w:bCs/>
          <w:sz w:val="26"/>
          <w:szCs w:val="26"/>
        </w:rPr>
        <w:t>ортоксилол</w:t>
      </w:r>
      <w:proofErr w:type="spellEnd"/>
      <w:r w:rsidRPr="00D50C42">
        <w:rPr>
          <w:rFonts w:ascii="Times New Roman" w:hAnsi="Times New Roman" w:cs="Times New Roman"/>
          <w:bCs/>
          <w:sz w:val="26"/>
          <w:szCs w:val="26"/>
        </w:rPr>
        <w:t>, авиационный керосин. При этом предусмотрены механизмы, направленные на субсидирование налогоплательщиков посредством предоставления права на возмещение сумм акцизов в отношении продуктов нефтехимии и авиационного керосина и др.</w:t>
      </w:r>
    </w:p>
    <w:p w:rsidR="00A44E5D" w:rsidRPr="00D50C42" w:rsidRDefault="00A44E5D" w:rsidP="00A24C32">
      <w:pPr>
        <w:spacing w:after="120" w:line="240" w:lineRule="auto"/>
        <w:ind w:firstLine="709"/>
        <w:jc w:val="both"/>
        <w:rPr>
          <w:rFonts w:ascii="Times New Roman" w:hAnsi="Times New Roman" w:cs="Times New Roman"/>
          <w:bCs/>
          <w:sz w:val="26"/>
          <w:szCs w:val="26"/>
        </w:rPr>
      </w:pPr>
      <w:r w:rsidRPr="00D50C42">
        <w:rPr>
          <w:rFonts w:ascii="Times New Roman" w:hAnsi="Times New Roman" w:cs="Times New Roman"/>
          <w:bCs/>
          <w:sz w:val="26"/>
          <w:szCs w:val="26"/>
        </w:rPr>
        <w:t xml:space="preserve">Объектом акцизного налогообложения керосина является только получение лицом, включенным в Реестр </w:t>
      </w:r>
      <w:proofErr w:type="spellStart"/>
      <w:r w:rsidRPr="00D50C42">
        <w:rPr>
          <w:rFonts w:ascii="Times New Roman" w:hAnsi="Times New Roman" w:cs="Times New Roman"/>
          <w:bCs/>
          <w:sz w:val="26"/>
          <w:szCs w:val="26"/>
        </w:rPr>
        <w:t>эксплуатантов</w:t>
      </w:r>
      <w:proofErr w:type="spellEnd"/>
      <w:r w:rsidRPr="00D50C42">
        <w:rPr>
          <w:rFonts w:ascii="Times New Roman" w:hAnsi="Times New Roman" w:cs="Times New Roman"/>
          <w:bCs/>
          <w:sz w:val="26"/>
          <w:szCs w:val="26"/>
        </w:rPr>
        <w:t xml:space="preserve"> гражданской авиации РФ и имеющим сертификат (свидетельство) </w:t>
      </w:r>
      <w:proofErr w:type="spellStart"/>
      <w:r w:rsidRPr="00D50C42">
        <w:rPr>
          <w:rFonts w:ascii="Times New Roman" w:hAnsi="Times New Roman" w:cs="Times New Roman"/>
          <w:bCs/>
          <w:sz w:val="26"/>
          <w:szCs w:val="26"/>
        </w:rPr>
        <w:t>эксплуатанта</w:t>
      </w:r>
      <w:proofErr w:type="spellEnd"/>
      <w:r w:rsidRPr="00D50C42">
        <w:rPr>
          <w:rFonts w:ascii="Times New Roman" w:hAnsi="Times New Roman" w:cs="Times New Roman"/>
          <w:bCs/>
          <w:sz w:val="26"/>
          <w:szCs w:val="26"/>
        </w:rPr>
        <w:t xml:space="preserve">. При этом предусмотрено введение особенностей исчисления акциза и применения вычета в увеличенном размере по совершаемым операциям с прямогонным бензином, бензолом, параксилолом, </w:t>
      </w:r>
      <w:proofErr w:type="spellStart"/>
      <w:r w:rsidRPr="00D50C42">
        <w:rPr>
          <w:rFonts w:ascii="Times New Roman" w:hAnsi="Times New Roman" w:cs="Times New Roman"/>
          <w:bCs/>
          <w:sz w:val="26"/>
          <w:szCs w:val="26"/>
        </w:rPr>
        <w:t>ортоксилолом</w:t>
      </w:r>
      <w:proofErr w:type="spellEnd"/>
      <w:r w:rsidRPr="00D50C42">
        <w:rPr>
          <w:rFonts w:ascii="Times New Roman" w:hAnsi="Times New Roman" w:cs="Times New Roman"/>
          <w:bCs/>
          <w:sz w:val="26"/>
          <w:szCs w:val="26"/>
        </w:rPr>
        <w:t>, авиационным керосином. Данная мера оказывает прямое влияние на авиационную отрасль. Налоговый вычет при реализации акциза производится в течение 2-3 месяцев, что ведет к выведению из оборота авиакомпаний значительных сумм. В свою очередь, авиаперевозчики для возмещения ликвидности, используемую в операционной деятельности, прибегают к краткосрочному кредитованию, что отражается на уровне издержек.</w:t>
      </w:r>
    </w:p>
    <w:p w:rsidR="00A44E5D" w:rsidRPr="00D50C42" w:rsidRDefault="00A44E5D" w:rsidP="00A24C32">
      <w:pPr>
        <w:spacing w:after="120" w:line="240" w:lineRule="auto"/>
        <w:ind w:firstLine="709"/>
        <w:jc w:val="both"/>
        <w:rPr>
          <w:rFonts w:ascii="Times New Roman" w:hAnsi="Times New Roman" w:cs="Times New Roman"/>
          <w:bCs/>
          <w:sz w:val="26"/>
          <w:szCs w:val="26"/>
        </w:rPr>
      </w:pPr>
      <w:proofErr w:type="gramStart"/>
      <w:r w:rsidRPr="00D50C42">
        <w:rPr>
          <w:rFonts w:ascii="Times New Roman" w:hAnsi="Times New Roman" w:cs="Times New Roman"/>
          <w:bCs/>
          <w:sz w:val="26"/>
          <w:szCs w:val="26"/>
        </w:rPr>
        <w:t xml:space="preserve">Кроме того, введение акциза на керосин преследовалась цель повышения собираемости данного налога, поскольку в ряде случаях керосин может быть использован для производства зимних сортов дизельного топлива путем спешивания с летним, что ведет к существенному удешевлению конечного продукта. </w:t>
      </w:r>
      <w:proofErr w:type="gramEnd"/>
    </w:p>
    <w:p w:rsidR="00A44E5D" w:rsidRPr="00D50C42" w:rsidRDefault="00A44E5D" w:rsidP="00A24C32">
      <w:pPr>
        <w:spacing w:after="120" w:line="240" w:lineRule="auto"/>
        <w:ind w:firstLine="709"/>
        <w:jc w:val="both"/>
        <w:rPr>
          <w:rFonts w:ascii="Times New Roman" w:hAnsi="Times New Roman" w:cs="Times New Roman"/>
          <w:bCs/>
          <w:sz w:val="26"/>
          <w:szCs w:val="26"/>
        </w:rPr>
      </w:pPr>
      <w:r w:rsidRPr="00D50C42">
        <w:rPr>
          <w:rFonts w:ascii="Times New Roman" w:hAnsi="Times New Roman" w:cs="Times New Roman"/>
          <w:bCs/>
          <w:sz w:val="26"/>
          <w:szCs w:val="26"/>
        </w:rPr>
        <w:t xml:space="preserve">Ставка акциза напрямую влияет на цену подакцизного товара. </w:t>
      </w:r>
      <w:proofErr w:type="gramStart"/>
      <w:r w:rsidRPr="00D50C42">
        <w:rPr>
          <w:rFonts w:ascii="Times New Roman" w:hAnsi="Times New Roman" w:cs="Times New Roman"/>
          <w:bCs/>
          <w:sz w:val="26"/>
          <w:szCs w:val="26"/>
        </w:rPr>
        <w:t>Доля акцизов в стоимости литра бензина занимает около 18%. В стоимостном выражении это составляет для бензинов марок АИ-92 и АИ-95 - 4,18-5,5 руб./л., для дизельного топлива 2,9 руб./л. В 2014 году доля акциза составляла около 23%. Соответственно снижение величины акциза ведет к сокращению доли налогов в стоимости подакцизного товара.</w:t>
      </w:r>
      <w:proofErr w:type="gramEnd"/>
      <w:r w:rsidRPr="00D50C42">
        <w:rPr>
          <w:rFonts w:ascii="Times New Roman" w:hAnsi="Times New Roman" w:cs="Times New Roman"/>
          <w:bCs/>
          <w:sz w:val="26"/>
          <w:szCs w:val="26"/>
        </w:rPr>
        <w:t xml:space="preserve"> Такой компенсирующий механизм был реализован при проведении «налогового маневра». Повышение ставки НДПИ вело к удорожанию сырья, поступающего на НПЗ внутри страны, что могло спровоцировать рост </w:t>
      </w:r>
      <w:r w:rsidRPr="00D50C42">
        <w:rPr>
          <w:rFonts w:ascii="Times New Roman" w:hAnsi="Times New Roman" w:cs="Times New Roman"/>
          <w:bCs/>
          <w:sz w:val="26"/>
          <w:szCs w:val="26"/>
        </w:rPr>
        <w:lastRenderedPageBreak/>
        <w:t xml:space="preserve">стоимости конечного продукта. Понижение величины акциза частично нивелировало повышение издержек для производителя и, следовательно, для конечного потребителя. </w:t>
      </w:r>
    </w:p>
    <w:p w:rsidR="00A44E5D" w:rsidRPr="00D50C42" w:rsidRDefault="00A44E5D" w:rsidP="00A24C32">
      <w:pPr>
        <w:spacing w:after="120" w:line="240" w:lineRule="auto"/>
        <w:ind w:firstLine="709"/>
        <w:jc w:val="both"/>
        <w:rPr>
          <w:rFonts w:ascii="Times New Roman" w:hAnsi="Times New Roman" w:cs="Times New Roman"/>
          <w:bCs/>
          <w:sz w:val="26"/>
          <w:szCs w:val="26"/>
        </w:rPr>
      </w:pPr>
      <w:proofErr w:type="gramStart"/>
      <w:r w:rsidRPr="00D50C42">
        <w:rPr>
          <w:rFonts w:ascii="Times New Roman" w:hAnsi="Times New Roman" w:cs="Times New Roman"/>
          <w:bCs/>
          <w:sz w:val="26"/>
          <w:szCs w:val="26"/>
        </w:rPr>
        <w:t>Понижение ставки акциза на автомобильный бензин составило 29-43% в зависимости от класса топлива, собираемость данного сбора в консолидированный бюджет в первом квартале 2015 года сократилась на 10%, а в региональный – на 25%. Такое непропорциональное сокращение обусловлено ростом объема производства автомобильного бензина за налогооблагаемый период.</w:t>
      </w:r>
      <w:proofErr w:type="gramEnd"/>
      <w:r w:rsidRPr="00D50C42">
        <w:rPr>
          <w:rFonts w:ascii="Times New Roman" w:hAnsi="Times New Roman" w:cs="Times New Roman"/>
          <w:bCs/>
          <w:sz w:val="26"/>
          <w:szCs w:val="26"/>
        </w:rPr>
        <w:t xml:space="preserve"> Кроме того, на территории РФ реализуется 94% произведенного бензина, тогда как дизельного топлива – около 50%. Для дизельного топлива понижение акциза составило 34-55% в зависимости от класса. Но поступления в консолидированный бюджет сократились на 32,9%, в региональный бюджет - на 6,8%.</w:t>
      </w:r>
    </w:p>
    <w:p w:rsidR="00A44E5D" w:rsidRPr="00D50C42" w:rsidRDefault="00A44E5D" w:rsidP="00A24C32">
      <w:pPr>
        <w:spacing w:after="120" w:line="240" w:lineRule="auto"/>
        <w:ind w:firstLine="709"/>
        <w:jc w:val="both"/>
        <w:rPr>
          <w:rFonts w:ascii="Times New Roman" w:hAnsi="Times New Roman" w:cs="Times New Roman"/>
          <w:bCs/>
          <w:sz w:val="26"/>
          <w:szCs w:val="26"/>
        </w:rPr>
      </w:pPr>
      <w:r w:rsidRPr="00D50C42">
        <w:rPr>
          <w:rFonts w:ascii="Times New Roman" w:hAnsi="Times New Roman" w:cs="Times New Roman"/>
          <w:bCs/>
          <w:sz w:val="26"/>
          <w:szCs w:val="26"/>
        </w:rPr>
        <w:t>Сокращение ставок акциза 1 января 2015 года снизило роль налога в бюджетной системе. В то же время, уменьшение собираемости может происходить диспропорционально понижению ставки, так как налогооблагаемой базой является топливо, реализуемое на внутреннем рынке. Соответственно в случае роста внутреннего потребления, собираемость данного налога возрастет без применения мер по увеличению ставки.</w:t>
      </w:r>
    </w:p>
    <w:p w:rsidR="00A44E5D" w:rsidRPr="00D50C42" w:rsidRDefault="00A44E5D" w:rsidP="00A24C32">
      <w:pPr>
        <w:spacing w:after="120" w:line="240" w:lineRule="auto"/>
        <w:ind w:firstLine="709"/>
        <w:jc w:val="both"/>
        <w:rPr>
          <w:rFonts w:ascii="Times New Roman" w:hAnsi="Times New Roman" w:cs="Times New Roman"/>
          <w:sz w:val="26"/>
          <w:szCs w:val="26"/>
        </w:rPr>
      </w:pP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Анализ международного опыта показывает, что не существует универсальной и достаточного гибкой системы налогообложения минерально-сырьевого сектора, поэтому налоговая политика государства должна учитывать особенности отрасли на конкретной территории. Россия также использует многие из существующих механизмов изъятия ренты, адаптируя их для решения фискальных и отраслевых задач.</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По структуре налоговых изъятий и источникам обложения существующая система налогообложения нефтегазового сектора России ближе к развивающимся странам. Преобладающая роль отводится механизмам изъятия условно-дифференциальной ренты. Условно потому, что действующая система в первую очередь защищает краткосрочные финансовые интересы нефтяных компаний за счет демпфирования скачков стоимости нефти и валюты на мировом рынке, и только потом в определенной степени учитывает разнообразие условий добычи, транспортировки и реализации нефти. Так, если для бюджета при различных параметрах нефтяных котировок и курса доллара объем поступлений будет меняться многократно, то для нефтяных компаний защищенный уровень поступлений составляет не менее 15-17 долл. за </w:t>
      </w:r>
      <w:proofErr w:type="spellStart"/>
      <w:r w:rsidRPr="00D50C42">
        <w:rPr>
          <w:rFonts w:ascii="Times New Roman" w:hAnsi="Times New Roman" w:cs="Times New Roman"/>
          <w:sz w:val="26"/>
          <w:szCs w:val="26"/>
        </w:rPr>
        <w:t>барр</w:t>
      </w:r>
      <w:proofErr w:type="spellEnd"/>
      <w:r w:rsidRPr="00D50C42">
        <w:rPr>
          <w:rFonts w:ascii="Times New Roman" w:hAnsi="Times New Roman" w:cs="Times New Roman"/>
          <w:sz w:val="26"/>
          <w:szCs w:val="26"/>
        </w:rPr>
        <w:t>. и не стимулирует их к поиску революционных решений тех проблем, которые накопились в отрасли. Изменение ставки налогообложения в зависимости от сложности разработки месторождения оценивается не более 10-15%.</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Реализованный «налоговый маневр» пока не вызывал значимого увеличения нагрузки на нефтегазовые компании, но он и не в полной мере отвечает долгосрочным интересам развития отрасли. Уровень дифференциации рентных платежей (прежде всего, НДПИ) мог бы быть несколько более высоким, чтобы учитывать разные условия залегания ресурсов, а амортизационная политика более </w:t>
      </w:r>
      <w:r w:rsidRPr="00D50C42">
        <w:rPr>
          <w:rFonts w:ascii="Times New Roman" w:hAnsi="Times New Roman" w:cs="Times New Roman"/>
          <w:sz w:val="26"/>
          <w:szCs w:val="26"/>
        </w:rPr>
        <w:lastRenderedPageBreak/>
        <w:t xml:space="preserve">комфортной, чтобы поощрять инвестиционную активность и вовлекать в оборот </w:t>
      </w:r>
      <w:proofErr w:type="spellStart"/>
      <w:r w:rsidRPr="00D50C42">
        <w:rPr>
          <w:rFonts w:ascii="Times New Roman" w:hAnsi="Times New Roman" w:cs="Times New Roman"/>
          <w:sz w:val="26"/>
          <w:szCs w:val="26"/>
        </w:rPr>
        <w:t>трудноизвлекаемые</w:t>
      </w:r>
      <w:proofErr w:type="spellEnd"/>
      <w:r w:rsidRPr="00D50C42">
        <w:rPr>
          <w:rFonts w:ascii="Times New Roman" w:hAnsi="Times New Roman" w:cs="Times New Roman"/>
          <w:sz w:val="26"/>
          <w:szCs w:val="26"/>
        </w:rPr>
        <w:t xml:space="preserve"> запасы.</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Радикальные изменения налоговой системы в ближайшем будущем не представляются целесообразными. Тем более</w:t>
      </w:r>
      <w:proofErr w:type="gramStart"/>
      <w:r w:rsidRPr="00D50C42">
        <w:rPr>
          <w:rFonts w:ascii="Times New Roman" w:hAnsi="Times New Roman" w:cs="Times New Roman"/>
          <w:sz w:val="26"/>
          <w:szCs w:val="26"/>
        </w:rPr>
        <w:t>,</w:t>
      </w:r>
      <w:proofErr w:type="gramEnd"/>
      <w:r w:rsidRPr="00D50C42">
        <w:rPr>
          <w:rFonts w:ascii="Times New Roman" w:hAnsi="Times New Roman" w:cs="Times New Roman"/>
          <w:sz w:val="26"/>
          <w:szCs w:val="26"/>
        </w:rPr>
        <w:t xml:space="preserve"> что сложившаяся система обложения нефтегазовых доходов выполняет не только фискальную функцию, но и функцию ценового регулирования для внутреннего рынка нефтепродуктов, через который налоговая нагрузка перераспределяется на прочие отрасли экономики (среди крайне чувствительных отраслей – АПК, транспорт, торговля).</w:t>
      </w:r>
    </w:p>
    <w:p w:rsidR="00A44E5D" w:rsidRDefault="00A44E5D" w:rsidP="00A24C32">
      <w:pPr>
        <w:spacing w:after="120" w:line="240" w:lineRule="auto"/>
        <w:ind w:firstLine="709"/>
        <w:jc w:val="both"/>
        <w:rPr>
          <w:rFonts w:ascii="Times New Roman" w:hAnsi="Times New Roman" w:cs="Times New Roman"/>
          <w:sz w:val="24"/>
          <w:szCs w:val="24"/>
        </w:rPr>
      </w:pPr>
    </w:p>
    <w:p w:rsidR="00A44E5D" w:rsidRPr="00F54A53" w:rsidRDefault="00A44E5D" w:rsidP="00A44E5D">
      <w:pPr>
        <w:spacing w:after="120"/>
        <w:ind w:firstLine="709"/>
        <w:jc w:val="both"/>
        <w:rPr>
          <w:rFonts w:ascii="Times New Roman" w:hAnsi="Times New Roman" w:cs="Times New Roman"/>
          <w:b/>
          <w:i/>
          <w:sz w:val="20"/>
          <w:szCs w:val="24"/>
        </w:rPr>
      </w:pPr>
      <w:r w:rsidRPr="00F54A53">
        <w:rPr>
          <w:rFonts w:ascii="Times New Roman" w:hAnsi="Times New Roman" w:cs="Times New Roman"/>
          <w:b/>
          <w:i/>
          <w:sz w:val="20"/>
          <w:szCs w:val="24"/>
        </w:rPr>
        <w:t xml:space="preserve">Особенности системы налогообложения нефтяного сектора в России </w:t>
      </w:r>
    </w:p>
    <w:p w:rsidR="00A44E5D" w:rsidRDefault="00A44E5D" w:rsidP="00A44E5D">
      <w:pPr>
        <w:spacing w:after="120"/>
        <w:rPr>
          <w:rFonts w:ascii="Times New Roman" w:hAnsi="Times New Roman" w:cs="Times New Roman"/>
          <w:sz w:val="24"/>
          <w:szCs w:val="24"/>
        </w:rPr>
      </w:pPr>
      <w:r w:rsidRPr="00D96395">
        <w:rPr>
          <w:noProof/>
          <w:lang w:eastAsia="ru-RU"/>
        </w:rPr>
        <w:drawing>
          <wp:inline distT="0" distB="0" distL="0" distR="0" wp14:anchorId="68BF8667" wp14:editId="1693FD08">
            <wp:extent cx="6252152" cy="243826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email"/>
                    <a:srcRect/>
                    <a:stretch>
                      <a:fillRect/>
                    </a:stretch>
                  </pic:blipFill>
                  <pic:spPr bwMode="auto">
                    <a:xfrm>
                      <a:off x="0" y="0"/>
                      <a:ext cx="6262301" cy="2442218"/>
                    </a:xfrm>
                    <a:prstGeom prst="rect">
                      <a:avLst/>
                    </a:prstGeom>
                    <a:noFill/>
                    <a:ln w="9525">
                      <a:noFill/>
                      <a:miter lim="800000"/>
                      <a:headEnd/>
                      <a:tailEnd/>
                    </a:ln>
                  </pic:spPr>
                </pic:pic>
              </a:graphicData>
            </a:graphic>
          </wp:inline>
        </w:drawing>
      </w:r>
    </w:p>
    <w:p w:rsidR="00A24C32" w:rsidRDefault="00A24C32" w:rsidP="00A44E5D">
      <w:pPr>
        <w:spacing w:after="120"/>
        <w:rPr>
          <w:rFonts w:ascii="Times New Roman" w:hAnsi="Times New Roman" w:cs="Times New Roman"/>
          <w:sz w:val="24"/>
          <w:szCs w:val="24"/>
        </w:rPr>
      </w:pPr>
    </w:p>
    <w:p w:rsidR="00A24C32" w:rsidRDefault="00A24C32" w:rsidP="00A44E5D">
      <w:pPr>
        <w:spacing w:after="120"/>
        <w:rPr>
          <w:rFonts w:ascii="Times New Roman" w:hAnsi="Times New Roman" w:cs="Times New Roman"/>
          <w:sz w:val="24"/>
          <w:szCs w:val="24"/>
        </w:rPr>
      </w:pPr>
    </w:p>
    <w:p w:rsidR="00A24C32" w:rsidRDefault="00A24C32" w:rsidP="00A44E5D">
      <w:pPr>
        <w:spacing w:after="120"/>
        <w:rPr>
          <w:rFonts w:ascii="Times New Roman" w:hAnsi="Times New Roman" w:cs="Times New Roman"/>
          <w:sz w:val="24"/>
          <w:szCs w:val="24"/>
        </w:rPr>
      </w:pPr>
    </w:p>
    <w:p w:rsidR="00A24C32" w:rsidRDefault="00A24C32" w:rsidP="00A44E5D">
      <w:pPr>
        <w:spacing w:after="120"/>
        <w:rPr>
          <w:rFonts w:ascii="Times New Roman" w:hAnsi="Times New Roman" w:cs="Times New Roman"/>
          <w:sz w:val="24"/>
          <w:szCs w:val="24"/>
        </w:rPr>
      </w:pPr>
    </w:p>
    <w:p w:rsidR="00A24C32" w:rsidRDefault="00A24C32" w:rsidP="00A44E5D">
      <w:pPr>
        <w:spacing w:after="120"/>
        <w:rPr>
          <w:rFonts w:ascii="Times New Roman" w:hAnsi="Times New Roman" w:cs="Times New Roman"/>
          <w:sz w:val="24"/>
          <w:szCs w:val="24"/>
        </w:rPr>
      </w:pPr>
    </w:p>
    <w:p w:rsidR="00A24C32" w:rsidRDefault="00A24C32" w:rsidP="00A44E5D">
      <w:pPr>
        <w:spacing w:after="120"/>
        <w:rPr>
          <w:rFonts w:ascii="Times New Roman" w:hAnsi="Times New Roman" w:cs="Times New Roman"/>
          <w:sz w:val="24"/>
          <w:szCs w:val="24"/>
        </w:rPr>
      </w:pPr>
    </w:p>
    <w:p w:rsidR="00A24C32" w:rsidRDefault="00A24C32" w:rsidP="00A44E5D">
      <w:pPr>
        <w:spacing w:after="120"/>
        <w:rPr>
          <w:rFonts w:ascii="Times New Roman" w:hAnsi="Times New Roman" w:cs="Times New Roman"/>
          <w:sz w:val="24"/>
          <w:szCs w:val="24"/>
        </w:rPr>
      </w:pPr>
    </w:p>
    <w:p w:rsidR="00A24C32" w:rsidRDefault="00A24C32" w:rsidP="00A44E5D">
      <w:pPr>
        <w:spacing w:after="120"/>
        <w:rPr>
          <w:rFonts w:ascii="Times New Roman" w:hAnsi="Times New Roman" w:cs="Times New Roman"/>
          <w:sz w:val="24"/>
          <w:szCs w:val="24"/>
        </w:rPr>
      </w:pPr>
    </w:p>
    <w:p w:rsidR="00A24C32" w:rsidRDefault="00A24C32" w:rsidP="00A44E5D">
      <w:pPr>
        <w:spacing w:after="120"/>
        <w:rPr>
          <w:rFonts w:ascii="Times New Roman" w:hAnsi="Times New Roman" w:cs="Times New Roman"/>
          <w:sz w:val="24"/>
          <w:szCs w:val="24"/>
        </w:rPr>
      </w:pPr>
    </w:p>
    <w:p w:rsidR="00A24C32" w:rsidRDefault="00A24C32" w:rsidP="00A44E5D">
      <w:pPr>
        <w:spacing w:after="120"/>
        <w:rPr>
          <w:rFonts w:ascii="Times New Roman" w:hAnsi="Times New Roman" w:cs="Times New Roman"/>
          <w:sz w:val="24"/>
          <w:szCs w:val="24"/>
        </w:rPr>
      </w:pPr>
    </w:p>
    <w:p w:rsidR="00A24C32" w:rsidRDefault="00A24C32" w:rsidP="00A44E5D">
      <w:pPr>
        <w:spacing w:after="120"/>
        <w:rPr>
          <w:rFonts w:ascii="Times New Roman" w:hAnsi="Times New Roman" w:cs="Times New Roman"/>
          <w:sz w:val="24"/>
          <w:szCs w:val="24"/>
        </w:rPr>
      </w:pPr>
    </w:p>
    <w:p w:rsidR="00A24C32" w:rsidRDefault="00A24C32" w:rsidP="00A44E5D">
      <w:pPr>
        <w:spacing w:after="120"/>
        <w:rPr>
          <w:rFonts w:ascii="Times New Roman" w:hAnsi="Times New Roman" w:cs="Times New Roman"/>
          <w:sz w:val="24"/>
          <w:szCs w:val="24"/>
        </w:rPr>
      </w:pPr>
    </w:p>
    <w:p w:rsidR="00A24C32" w:rsidRDefault="00A24C32" w:rsidP="00A44E5D">
      <w:pPr>
        <w:spacing w:after="120"/>
        <w:rPr>
          <w:rFonts w:ascii="Times New Roman" w:hAnsi="Times New Roman" w:cs="Times New Roman"/>
          <w:sz w:val="24"/>
          <w:szCs w:val="24"/>
        </w:rPr>
      </w:pPr>
    </w:p>
    <w:p w:rsidR="00A24C32" w:rsidRDefault="00A24C32" w:rsidP="00A44E5D">
      <w:pPr>
        <w:spacing w:after="120"/>
        <w:rPr>
          <w:rFonts w:ascii="Times New Roman" w:hAnsi="Times New Roman" w:cs="Times New Roman"/>
          <w:sz w:val="24"/>
          <w:szCs w:val="24"/>
        </w:rPr>
      </w:pPr>
    </w:p>
    <w:p w:rsidR="00A24C32" w:rsidRDefault="00A24C32" w:rsidP="00A44E5D">
      <w:pPr>
        <w:spacing w:after="120"/>
        <w:rPr>
          <w:rFonts w:ascii="Times New Roman" w:hAnsi="Times New Roman" w:cs="Times New Roman"/>
          <w:sz w:val="24"/>
          <w:szCs w:val="24"/>
        </w:rPr>
      </w:pPr>
    </w:p>
    <w:p w:rsidR="00A24C32" w:rsidRPr="0044169E" w:rsidRDefault="00A24C32" w:rsidP="00A44E5D">
      <w:pPr>
        <w:spacing w:after="120"/>
        <w:rPr>
          <w:rFonts w:ascii="Times New Roman" w:hAnsi="Times New Roman" w:cs="Times New Roman"/>
          <w:sz w:val="24"/>
          <w:szCs w:val="24"/>
        </w:rPr>
      </w:pPr>
    </w:p>
    <w:p w:rsidR="00A44E5D" w:rsidRDefault="00A44E5D" w:rsidP="00A24C32">
      <w:pPr>
        <w:pStyle w:val="1"/>
        <w:rPr>
          <w:rFonts w:ascii="Times New Roman" w:hAnsi="Times New Roman" w:cs="Times New Roman"/>
          <w:color w:val="1F497D" w:themeColor="text2"/>
        </w:rPr>
      </w:pPr>
      <w:bookmarkStart w:id="199" w:name="_Toc431474324"/>
      <w:r w:rsidRPr="00A24C32">
        <w:rPr>
          <w:rFonts w:ascii="Times New Roman" w:hAnsi="Times New Roman" w:cs="Times New Roman"/>
          <w:color w:val="1F497D" w:themeColor="text2"/>
        </w:rPr>
        <w:lastRenderedPageBreak/>
        <w:t>Российская практика: перераспределение налоговой нагрузки</w:t>
      </w:r>
      <w:bookmarkEnd w:id="199"/>
    </w:p>
    <w:p w:rsidR="00A24C32" w:rsidRPr="00A24C32" w:rsidRDefault="00A24C32" w:rsidP="00A24C32"/>
    <w:p w:rsidR="00A44E5D" w:rsidRPr="007C67F6" w:rsidRDefault="00A44E5D" w:rsidP="007C67F6">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Из-за увеличения НДПИ заметно повысилась стоимость нефти для переработки на российских предприятиях, что создало риски перераспределения роста налоговой нагрузки на прочие отрасли экономики. Частично эти риски были нивелированы снижением акцизов на топливо. Однако роль акцизов не была столь значима, поэтому наблюдалось падение рентабельности НПЗ и сокращение объемов производства. В 2014 году </w:t>
      </w:r>
      <w:proofErr w:type="gramStart"/>
      <w:r w:rsidRPr="00D50C42">
        <w:rPr>
          <w:rFonts w:ascii="Times New Roman" w:hAnsi="Times New Roman" w:cs="Times New Roman"/>
          <w:sz w:val="26"/>
          <w:szCs w:val="26"/>
        </w:rPr>
        <w:t>на</w:t>
      </w:r>
      <w:proofErr w:type="gramEnd"/>
      <w:r w:rsidRPr="00D50C42">
        <w:rPr>
          <w:rFonts w:ascii="Times New Roman" w:hAnsi="Times New Roman" w:cs="Times New Roman"/>
          <w:sz w:val="26"/>
          <w:szCs w:val="26"/>
        </w:rPr>
        <w:t xml:space="preserve"> </w:t>
      </w:r>
      <w:proofErr w:type="gramStart"/>
      <w:r w:rsidRPr="00D50C42">
        <w:rPr>
          <w:rFonts w:ascii="Times New Roman" w:hAnsi="Times New Roman" w:cs="Times New Roman"/>
          <w:sz w:val="26"/>
          <w:szCs w:val="26"/>
        </w:rPr>
        <w:t>российских</w:t>
      </w:r>
      <w:proofErr w:type="gramEnd"/>
      <w:r w:rsidRPr="00D50C42">
        <w:rPr>
          <w:rFonts w:ascii="Times New Roman" w:hAnsi="Times New Roman" w:cs="Times New Roman"/>
          <w:sz w:val="26"/>
          <w:szCs w:val="26"/>
        </w:rPr>
        <w:t xml:space="preserve"> НПЗ первичная переработка нефтяного сырья выросла до 288,49 млн. тонн, или на 5,9%. В первом кварте 2015 года первичная переработка уменьшилась на 0,8% по сравнению с 2014 годом, во втором квартале 2015 года эта тенденция усилилась, и снижение составило 2,1%.</w:t>
      </w:r>
    </w:p>
    <w:tbl>
      <w:tblPr>
        <w:tblW w:w="0" w:type="auto"/>
        <w:tblLook w:val="04A0" w:firstRow="1" w:lastRow="0" w:firstColumn="1" w:lastColumn="0" w:noHBand="0" w:noVBand="1"/>
      </w:tblPr>
      <w:tblGrid>
        <w:gridCol w:w="5340"/>
        <w:gridCol w:w="4514"/>
      </w:tblGrid>
      <w:tr w:rsidR="00A44E5D" w:rsidTr="00A44E5D">
        <w:tc>
          <w:tcPr>
            <w:tcW w:w="5211" w:type="dxa"/>
          </w:tcPr>
          <w:p w:rsidR="00A44E5D" w:rsidRPr="00E434FF" w:rsidRDefault="00A44E5D" w:rsidP="00A24C32">
            <w:pPr>
              <w:spacing w:after="120"/>
              <w:jc w:val="center"/>
              <w:rPr>
                <w:rFonts w:cs="Times New Roman"/>
                <w:b/>
                <w:i/>
                <w:sz w:val="20"/>
              </w:rPr>
            </w:pPr>
            <w:r w:rsidRPr="004F422A">
              <w:rPr>
                <w:rFonts w:cs="Times New Roman"/>
                <w:b/>
                <w:i/>
                <w:sz w:val="20"/>
              </w:rPr>
              <w:t>Темпы роста первичной переработки нефтяного сырья на НПЗ России, год к году, %</w:t>
            </w:r>
          </w:p>
        </w:tc>
        <w:tc>
          <w:tcPr>
            <w:tcW w:w="4785" w:type="dxa"/>
          </w:tcPr>
          <w:p w:rsidR="00A44E5D" w:rsidRPr="00A51C91" w:rsidRDefault="00A44E5D" w:rsidP="00A24C32">
            <w:pPr>
              <w:spacing w:after="120"/>
              <w:jc w:val="center"/>
              <w:rPr>
                <w:rFonts w:cs="Times New Roman"/>
                <w:b/>
                <w:i/>
                <w:sz w:val="20"/>
              </w:rPr>
            </w:pPr>
            <w:r w:rsidRPr="004F422A">
              <w:rPr>
                <w:rFonts w:cs="Times New Roman"/>
                <w:b/>
                <w:i/>
                <w:sz w:val="20"/>
              </w:rPr>
              <w:t>Динамика инфляции и розничных цен на бензин АИ-92, %</w:t>
            </w:r>
          </w:p>
        </w:tc>
      </w:tr>
      <w:tr w:rsidR="00A44E5D" w:rsidTr="00A44E5D">
        <w:tc>
          <w:tcPr>
            <w:tcW w:w="5211" w:type="dxa"/>
          </w:tcPr>
          <w:p w:rsidR="00A44E5D" w:rsidRDefault="00A44E5D" w:rsidP="00A44E5D">
            <w:pPr>
              <w:spacing w:after="120"/>
              <w:jc w:val="both"/>
              <w:rPr>
                <w:rFonts w:cs="Times New Roman"/>
              </w:rPr>
            </w:pPr>
            <w:r>
              <w:rPr>
                <w:noProof/>
                <w:lang w:eastAsia="ru-RU"/>
              </w:rPr>
              <w:drawing>
                <wp:inline distT="0" distB="0" distL="0" distR="0" wp14:anchorId="465EDDB1" wp14:editId="406BBB93">
                  <wp:extent cx="3333750" cy="1835727"/>
                  <wp:effectExtent l="19050" t="0" r="0"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85" w:type="dxa"/>
          </w:tcPr>
          <w:p w:rsidR="00A44E5D" w:rsidRDefault="00A44E5D" w:rsidP="00A44E5D">
            <w:pPr>
              <w:spacing w:after="120"/>
              <w:jc w:val="right"/>
              <w:rPr>
                <w:rFonts w:cs="Times New Roman"/>
              </w:rPr>
            </w:pPr>
            <w:r w:rsidRPr="00A51C91">
              <w:rPr>
                <w:rFonts w:cs="Times New Roman"/>
                <w:noProof/>
                <w:lang w:eastAsia="ru-RU"/>
              </w:rPr>
              <w:drawing>
                <wp:inline distT="0" distB="0" distL="0" distR="0" wp14:anchorId="0007BBF1" wp14:editId="43C1AF3E">
                  <wp:extent cx="2812473" cy="1835727"/>
                  <wp:effectExtent l="0" t="0" r="0" b="0"/>
                  <wp:docPr id="2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44E5D" w:rsidTr="00A44E5D">
        <w:tc>
          <w:tcPr>
            <w:tcW w:w="5211" w:type="dxa"/>
          </w:tcPr>
          <w:p w:rsidR="00A44E5D" w:rsidRPr="00E434FF" w:rsidRDefault="00A44E5D" w:rsidP="00A44E5D">
            <w:pPr>
              <w:spacing w:after="120"/>
              <w:rPr>
                <w:rFonts w:cs="Times New Roman"/>
                <w:i/>
                <w:sz w:val="20"/>
              </w:rPr>
            </w:pPr>
            <w:r w:rsidRPr="004F422A">
              <w:rPr>
                <w:rFonts w:cs="Times New Roman"/>
                <w:i/>
                <w:sz w:val="20"/>
              </w:rPr>
              <w:t>Источник: Росстат</w:t>
            </w:r>
          </w:p>
        </w:tc>
        <w:tc>
          <w:tcPr>
            <w:tcW w:w="4785" w:type="dxa"/>
          </w:tcPr>
          <w:p w:rsidR="00A44E5D" w:rsidRDefault="00A44E5D" w:rsidP="00A44E5D">
            <w:pPr>
              <w:spacing w:after="120"/>
              <w:jc w:val="right"/>
              <w:rPr>
                <w:rFonts w:cs="Times New Roman"/>
              </w:rPr>
            </w:pPr>
            <w:r w:rsidRPr="004F422A">
              <w:rPr>
                <w:rFonts w:cs="Times New Roman"/>
                <w:i/>
                <w:sz w:val="20"/>
              </w:rPr>
              <w:t>Источник: Росстат</w:t>
            </w:r>
          </w:p>
        </w:tc>
      </w:tr>
    </w:tbl>
    <w:p w:rsidR="00A44E5D" w:rsidRPr="00D50C42" w:rsidRDefault="00A44E5D" w:rsidP="007C67F6">
      <w:pPr>
        <w:spacing w:after="120" w:line="240" w:lineRule="auto"/>
        <w:ind w:firstLine="708"/>
        <w:jc w:val="both"/>
        <w:rPr>
          <w:rFonts w:ascii="Times New Roman" w:hAnsi="Times New Roman" w:cs="Times New Roman"/>
          <w:sz w:val="26"/>
          <w:szCs w:val="26"/>
        </w:rPr>
      </w:pPr>
      <w:r w:rsidRPr="00D50C42">
        <w:rPr>
          <w:rFonts w:ascii="Times New Roman" w:hAnsi="Times New Roman" w:cs="Times New Roman"/>
          <w:sz w:val="26"/>
          <w:szCs w:val="26"/>
        </w:rPr>
        <w:t>Сокращение уровня переработки нефти наиболее существенно отразилось на производстве дизельного топлива и авиационного керосина. Также последовало сокращение производства топочного мазута, за счет технического переоснащения производства и переориентацией на выпуск битумных материалов. Производство керосина за первые полгода 2015 года уменьшилось на 13%, заметное падение произошло в первом квартале 2015 года, что отчасти было вызвано спадом пассажиропотока из-за волатильности рубля по отношению к основным валютам. За первые шесть месяцев 2015 года дизельного топлива было произведено всего на 0,3% меньше относительно 2014 года, но по итогам второго квартала 2015 года снижение составило 2,6% относительно 2014 года. Выпуск топочного мазута упал в 2015 году на 5,4% за первое полугодие 2015 года, что соответствует показателям 2013 года. Между тем, общее падение производства не отразилось на выпуске автомобильного бензина, темпы роста которого за счет модернизации нефтеперерабатывающих мощностей увеличились в первом полугодии 2015 года на 2,6%.</w:t>
      </w:r>
    </w:p>
    <w:p w:rsidR="00A24C32" w:rsidRPr="00D50C42" w:rsidRDefault="00A44E5D" w:rsidP="000F4260">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В целом, налоговый маневр пока не оказал сильного негативного влияния на топливный рынок. Структура стоимости топлива не претерпела существенных изменений, произошло лишь перераспределение удельного веса налогов. Так, на 6% возросла доля НДПИ, на 8% сократился удельный вес акциза. Однако уже в ближайшей перспективе вероятен рост розничных цен для компенсации потерь переработчикам. Маловероятно, что он будет чрезмерным, однако часть налоговой нагрузки нефтяники смогут «делегировать» потребителям.</w:t>
      </w:r>
    </w:p>
    <w:p w:rsidR="00A44E5D" w:rsidRDefault="00A44E5D" w:rsidP="00A24C32">
      <w:pPr>
        <w:pStyle w:val="1"/>
        <w:rPr>
          <w:rFonts w:ascii="Times New Roman" w:hAnsi="Times New Roman" w:cs="Times New Roman"/>
          <w:color w:val="1F497D" w:themeColor="text2"/>
        </w:rPr>
      </w:pPr>
      <w:bookmarkStart w:id="200" w:name="_Toc431474325"/>
      <w:r w:rsidRPr="00A24C32">
        <w:rPr>
          <w:rFonts w:ascii="Times New Roman" w:hAnsi="Times New Roman" w:cs="Times New Roman"/>
          <w:color w:val="1F497D" w:themeColor="text2"/>
        </w:rPr>
        <w:lastRenderedPageBreak/>
        <w:t>Альтернативное использование налоговых ресурсов в отрасли</w:t>
      </w:r>
      <w:bookmarkEnd w:id="200"/>
    </w:p>
    <w:p w:rsidR="00A24C32" w:rsidRPr="00A24C32" w:rsidRDefault="00A24C32" w:rsidP="00A24C32"/>
    <w:p w:rsidR="00A44E5D" w:rsidRPr="00D50C42" w:rsidRDefault="00A44E5D" w:rsidP="00A44E5D">
      <w:pPr>
        <w:spacing w:after="120"/>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Общее налоговое бремя на нефтяную отрасль сегодня нельзя назвать критическим, однако очевидна снижающаяся эффективность этого налогообложения как для бюджета, так и для отрасли. Высокая рентабельность нефтяного сектора в 2000-е годы сформировала недостаточно качественные механизмы перераспределения этих сверхдоходов в экономике страны, </w:t>
      </w:r>
      <w:proofErr w:type="gramStart"/>
      <w:r w:rsidRPr="00D50C42">
        <w:rPr>
          <w:rFonts w:ascii="Times New Roman" w:hAnsi="Times New Roman" w:cs="Times New Roman"/>
          <w:sz w:val="26"/>
          <w:szCs w:val="26"/>
        </w:rPr>
        <w:t>поощряя</w:t>
      </w:r>
      <w:proofErr w:type="gramEnd"/>
      <w:r w:rsidRPr="00D50C42">
        <w:rPr>
          <w:rFonts w:ascii="Times New Roman" w:hAnsi="Times New Roman" w:cs="Times New Roman"/>
          <w:sz w:val="26"/>
          <w:szCs w:val="26"/>
        </w:rPr>
        <w:t xml:space="preserve"> в том числе не всегда конкурентоспособные производства. Масштабы перераспределения ресурсной ренты в экономике уже достаточно велики – только самые крупные и легко вычленяемые </w:t>
      </w:r>
      <w:proofErr w:type="spellStart"/>
      <w:r w:rsidRPr="00D50C42">
        <w:rPr>
          <w:rFonts w:ascii="Times New Roman" w:hAnsi="Times New Roman" w:cs="Times New Roman"/>
          <w:sz w:val="26"/>
          <w:szCs w:val="26"/>
        </w:rPr>
        <w:t>перетоки</w:t>
      </w:r>
      <w:proofErr w:type="spellEnd"/>
      <w:r w:rsidRPr="00D50C42">
        <w:rPr>
          <w:rFonts w:ascii="Times New Roman" w:hAnsi="Times New Roman" w:cs="Times New Roman"/>
          <w:sz w:val="26"/>
          <w:szCs w:val="26"/>
        </w:rPr>
        <w:t xml:space="preserve"> составляют до трети от получаемых рентных платежей. Между тем, собственные проблемы отрасли не решались, и при существующем подходе не будут решены в ближайшем будущем.</w:t>
      </w:r>
    </w:p>
    <w:p w:rsidR="00A44E5D" w:rsidRDefault="00A44E5D" w:rsidP="00A44E5D">
      <w:pPr>
        <w:spacing w:after="120"/>
        <w:ind w:firstLine="709"/>
        <w:jc w:val="both"/>
        <w:rPr>
          <w:rFonts w:ascii="Times New Roman" w:hAnsi="Times New Roman" w:cs="Times New Roman"/>
          <w:sz w:val="24"/>
          <w:szCs w:val="24"/>
        </w:rPr>
      </w:pPr>
    </w:p>
    <w:p w:rsidR="00A44E5D" w:rsidRPr="00B63496" w:rsidRDefault="00A44E5D" w:rsidP="00A44E5D">
      <w:pPr>
        <w:spacing w:after="120"/>
        <w:ind w:firstLine="709"/>
        <w:jc w:val="both"/>
        <w:rPr>
          <w:rFonts w:ascii="Times New Roman" w:hAnsi="Times New Roman" w:cs="Times New Roman"/>
          <w:b/>
          <w:i/>
          <w:sz w:val="20"/>
          <w:szCs w:val="24"/>
        </w:rPr>
      </w:pPr>
      <w:r w:rsidRPr="00B63496">
        <w:rPr>
          <w:rFonts w:ascii="Times New Roman" w:hAnsi="Times New Roman" w:cs="Times New Roman"/>
          <w:b/>
          <w:i/>
          <w:sz w:val="20"/>
          <w:szCs w:val="24"/>
        </w:rPr>
        <w:t>Масштабы перераспределения</w:t>
      </w:r>
      <w:r>
        <w:rPr>
          <w:rFonts w:ascii="Times New Roman" w:hAnsi="Times New Roman" w:cs="Times New Roman"/>
          <w:b/>
          <w:i/>
          <w:sz w:val="20"/>
          <w:szCs w:val="24"/>
        </w:rPr>
        <w:t xml:space="preserve"> ренты в экономике</w:t>
      </w:r>
    </w:p>
    <w:p w:rsidR="00A44E5D" w:rsidRDefault="00A44E5D" w:rsidP="00A44E5D">
      <w:pPr>
        <w:spacing w:after="120"/>
        <w:ind w:firstLine="709"/>
        <w:jc w:val="center"/>
        <w:rPr>
          <w:rFonts w:ascii="Times New Roman" w:hAnsi="Times New Roman" w:cs="Times New Roman"/>
          <w:sz w:val="24"/>
          <w:szCs w:val="24"/>
        </w:rPr>
      </w:pPr>
      <w:r w:rsidRPr="00B63496">
        <w:rPr>
          <w:noProof/>
          <w:lang w:eastAsia="ru-RU"/>
        </w:rPr>
        <w:drawing>
          <wp:inline distT="0" distB="0" distL="0" distR="0" wp14:anchorId="786CBB2F" wp14:editId="7E55E37F">
            <wp:extent cx="4661100" cy="3235037"/>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4661717" cy="3235465"/>
                    </a:xfrm>
                    <a:prstGeom prst="rect">
                      <a:avLst/>
                    </a:prstGeom>
                    <a:noFill/>
                    <a:ln w="9525">
                      <a:noFill/>
                      <a:miter lim="800000"/>
                      <a:headEnd/>
                      <a:tailEnd/>
                    </a:ln>
                  </pic:spPr>
                </pic:pic>
              </a:graphicData>
            </a:graphic>
          </wp:inline>
        </w:drawing>
      </w:r>
    </w:p>
    <w:p w:rsidR="00A44E5D" w:rsidRDefault="00A44E5D" w:rsidP="00A44E5D">
      <w:pPr>
        <w:spacing w:after="120"/>
        <w:ind w:firstLine="709"/>
        <w:jc w:val="both"/>
        <w:rPr>
          <w:rFonts w:ascii="Times New Roman" w:hAnsi="Times New Roman" w:cs="Times New Roman"/>
          <w:sz w:val="24"/>
          <w:szCs w:val="24"/>
        </w:rPr>
      </w:pP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Несмотря на продолжающийся в 2015 году рост добычи нефти, в ряде компаний отмечается сокращение добычи. Так, в первой половине 2015 года добыча нефти в </w:t>
      </w:r>
      <w:r w:rsidR="007828CD">
        <w:rPr>
          <w:rFonts w:ascii="Times New Roman" w:hAnsi="Times New Roman" w:cs="Times New Roman"/>
          <w:sz w:val="26"/>
          <w:szCs w:val="26"/>
        </w:rPr>
        <w:t>П</w:t>
      </w:r>
      <w:r w:rsidRPr="00D50C42">
        <w:rPr>
          <w:rFonts w:ascii="Times New Roman" w:hAnsi="Times New Roman" w:cs="Times New Roman"/>
          <w:sz w:val="26"/>
          <w:szCs w:val="26"/>
        </w:rPr>
        <w:t>АО «</w:t>
      </w:r>
      <w:r w:rsidR="007828CD">
        <w:rPr>
          <w:rFonts w:ascii="Times New Roman" w:hAnsi="Times New Roman" w:cs="Times New Roman"/>
          <w:sz w:val="26"/>
          <w:szCs w:val="26"/>
        </w:rPr>
        <w:t>ЛУКОЙЛ</w:t>
      </w:r>
      <w:r w:rsidRPr="00D50C42">
        <w:rPr>
          <w:rFonts w:ascii="Times New Roman" w:hAnsi="Times New Roman" w:cs="Times New Roman"/>
          <w:sz w:val="26"/>
          <w:szCs w:val="26"/>
        </w:rPr>
        <w:t>» сократилась на 4,3% к аналогичному периоду предыдущего года. НК «Роснефть» показала снижение добычи в Западной Сибири на 3,2% к аналогичному периоду предыдущего года.</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В первую очередь, сокращение происходит в связи с </w:t>
      </w:r>
      <w:proofErr w:type="spellStart"/>
      <w:r w:rsidRPr="00D50C42">
        <w:rPr>
          <w:rFonts w:ascii="Times New Roman" w:hAnsi="Times New Roman" w:cs="Times New Roman"/>
          <w:sz w:val="26"/>
          <w:szCs w:val="26"/>
        </w:rPr>
        <w:t>выработанностью</w:t>
      </w:r>
      <w:proofErr w:type="spellEnd"/>
      <w:r w:rsidRPr="00D50C42">
        <w:rPr>
          <w:rFonts w:ascii="Times New Roman" w:hAnsi="Times New Roman" w:cs="Times New Roman"/>
          <w:sz w:val="26"/>
          <w:szCs w:val="26"/>
        </w:rPr>
        <w:t xml:space="preserve"> эксплуатируемых месторождений. Согласно проекту Генеральной схемы развития нефтяной отрасли России до 2035 года добыча нефти на действующих разрабатываемых месторождениях может сократиться на 34,5% до 237 млн. тонн в год (сейчас на эти месторождения приходится около 70% всей добычи в стране).</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lastRenderedPageBreak/>
        <w:t>Для удержания текущих объемов добычи необходимо вводить в эксплуатацию новые месторождения. С одной стороны, объемы бурения в последние годы стабильно увеличивались, превысив 21,6 млн. м. в 2013 году. С другой, наблюдающиеся темпы роста обусловлены эффектом низкой базы из-за катастрофического падения в 90-е годы. Нефтедобыча сегодня уже приближается к советским уровням, а вот объемы бурения пока еще отстают не менее</w:t>
      </w:r>
      <w:proofErr w:type="gramStart"/>
      <w:r w:rsidRPr="00D50C42">
        <w:rPr>
          <w:rFonts w:ascii="Times New Roman" w:hAnsi="Times New Roman" w:cs="Times New Roman"/>
          <w:sz w:val="26"/>
          <w:szCs w:val="26"/>
        </w:rPr>
        <w:t>,</w:t>
      </w:r>
      <w:proofErr w:type="gramEnd"/>
      <w:r w:rsidRPr="00D50C42">
        <w:rPr>
          <w:rFonts w:ascii="Times New Roman" w:hAnsi="Times New Roman" w:cs="Times New Roman"/>
          <w:sz w:val="26"/>
          <w:szCs w:val="26"/>
        </w:rPr>
        <w:t xml:space="preserve"> чем в 1,5 раза. По оценкам Минэнерго, поддержать текущий уровень добычи возможно при увеличении эксплуатационного бурения на 5-7%. Оценки нефтяных компаний сводятся к росту показателя на 50% от текущих значений, то есть 30 млн. погонных метров в год </w:t>
      </w:r>
      <w:proofErr w:type="gramStart"/>
      <w:r w:rsidRPr="00D50C42">
        <w:rPr>
          <w:rFonts w:ascii="Times New Roman" w:hAnsi="Times New Roman" w:cs="Times New Roman"/>
          <w:sz w:val="26"/>
          <w:szCs w:val="26"/>
        </w:rPr>
        <w:t>при</w:t>
      </w:r>
      <w:proofErr w:type="gramEnd"/>
      <w:r w:rsidRPr="00D50C42">
        <w:rPr>
          <w:rFonts w:ascii="Times New Roman" w:hAnsi="Times New Roman" w:cs="Times New Roman"/>
          <w:sz w:val="26"/>
          <w:szCs w:val="26"/>
        </w:rPr>
        <w:t xml:space="preserve"> текущих – 20 млн. метров. </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Проблему усугубляется массовым списанием установок, которое приходится как раз на текущий период, при том, что спрос смещается в пользу более тяжелого и технологичного оборудования, которое почти не производится в России. </w:t>
      </w:r>
    </w:p>
    <w:p w:rsidR="00A44E5D" w:rsidRDefault="00A44E5D" w:rsidP="00A44E5D">
      <w:pPr>
        <w:spacing w:after="120"/>
        <w:ind w:firstLine="709"/>
        <w:jc w:val="both"/>
        <w:rPr>
          <w:rFonts w:ascii="Times New Roman" w:hAnsi="Times New Roman" w:cs="Times New Roman"/>
          <w:sz w:val="24"/>
          <w:szCs w:val="24"/>
        </w:rPr>
      </w:pPr>
    </w:p>
    <w:tbl>
      <w:tblPr>
        <w:tblW w:w="0" w:type="auto"/>
        <w:tblLook w:val="04A0" w:firstRow="1" w:lastRow="0" w:firstColumn="1" w:lastColumn="0" w:noHBand="0" w:noVBand="1"/>
      </w:tblPr>
      <w:tblGrid>
        <w:gridCol w:w="4810"/>
        <w:gridCol w:w="5044"/>
      </w:tblGrid>
      <w:tr w:rsidR="00A44E5D" w:rsidTr="00A44E5D">
        <w:tc>
          <w:tcPr>
            <w:tcW w:w="4928" w:type="dxa"/>
          </w:tcPr>
          <w:p w:rsidR="00A44E5D" w:rsidRPr="00E434FF" w:rsidRDefault="00A44E5D" w:rsidP="00A44E5D">
            <w:pPr>
              <w:spacing w:after="120"/>
              <w:ind w:firstLine="709"/>
              <w:jc w:val="both"/>
              <w:rPr>
                <w:rFonts w:cs="Times New Roman"/>
                <w:b/>
                <w:i/>
                <w:sz w:val="20"/>
              </w:rPr>
            </w:pPr>
            <w:r w:rsidRPr="00F5306D">
              <w:rPr>
                <w:rFonts w:cs="Times New Roman"/>
                <w:b/>
                <w:i/>
                <w:sz w:val="20"/>
              </w:rPr>
              <w:t>Проходка бурения, млн. м.</w:t>
            </w:r>
          </w:p>
        </w:tc>
        <w:tc>
          <w:tcPr>
            <w:tcW w:w="5068" w:type="dxa"/>
          </w:tcPr>
          <w:p w:rsidR="00A44E5D" w:rsidRPr="00B62F5D" w:rsidRDefault="00A44E5D" w:rsidP="00A44E5D">
            <w:pPr>
              <w:spacing w:after="120"/>
              <w:jc w:val="right"/>
              <w:rPr>
                <w:rFonts w:cs="Times New Roman"/>
                <w:b/>
                <w:i/>
                <w:sz w:val="20"/>
              </w:rPr>
            </w:pPr>
            <w:r w:rsidRPr="004F422A">
              <w:rPr>
                <w:rFonts w:cs="Times New Roman"/>
                <w:b/>
                <w:i/>
                <w:sz w:val="20"/>
              </w:rPr>
              <w:t>Динамика</w:t>
            </w:r>
            <w:r>
              <w:rPr>
                <w:rFonts w:cs="Times New Roman"/>
                <w:b/>
                <w:i/>
                <w:sz w:val="20"/>
              </w:rPr>
              <w:t xml:space="preserve"> нефти</w:t>
            </w:r>
            <w:r w:rsidRPr="004F422A">
              <w:rPr>
                <w:rFonts w:cs="Times New Roman"/>
                <w:b/>
                <w:i/>
                <w:sz w:val="20"/>
              </w:rPr>
              <w:t xml:space="preserve"> </w:t>
            </w:r>
            <w:r>
              <w:rPr>
                <w:rFonts w:cs="Times New Roman"/>
                <w:b/>
                <w:i/>
                <w:sz w:val="20"/>
                <w:lang w:val="en-US"/>
              </w:rPr>
              <w:t>Brent</w:t>
            </w:r>
            <w:r w:rsidRPr="004F422A">
              <w:rPr>
                <w:rFonts w:cs="Times New Roman"/>
                <w:b/>
                <w:i/>
                <w:sz w:val="20"/>
              </w:rPr>
              <w:t xml:space="preserve">, </w:t>
            </w:r>
            <w:r>
              <w:rPr>
                <w:rFonts w:cs="Times New Roman"/>
                <w:b/>
                <w:i/>
                <w:sz w:val="20"/>
              </w:rPr>
              <w:t>долл. за баррель</w:t>
            </w:r>
          </w:p>
        </w:tc>
      </w:tr>
      <w:tr w:rsidR="00A44E5D" w:rsidTr="00A44E5D">
        <w:tc>
          <w:tcPr>
            <w:tcW w:w="4928" w:type="dxa"/>
          </w:tcPr>
          <w:p w:rsidR="00A44E5D" w:rsidRDefault="00A44E5D" w:rsidP="00A44E5D">
            <w:pPr>
              <w:spacing w:after="120"/>
              <w:jc w:val="both"/>
              <w:rPr>
                <w:rFonts w:cs="Times New Roman"/>
              </w:rPr>
            </w:pPr>
            <w:r w:rsidRPr="007C3A07">
              <w:rPr>
                <w:noProof/>
                <w:lang w:eastAsia="ru-RU"/>
              </w:rPr>
              <w:drawing>
                <wp:inline distT="0" distB="0" distL="0" distR="0" wp14:anchorId="40056EDB" wp14:editId="2B7A9ACE">
                  <wp:extent cx="2957945" cy="2022764"/>
                  <wp:effectExtent l="0" t="0" r="0" b="0"/>
                  <wp:docPr id="20"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068" w:type="dxa"/>
          </w:tcPr>
          <w:p w:rsidR="00A44E5D" w:rsidRDefault="00A44E5D" w:rsidP="00A44E5D">
            <w:pPr>
              <w:spacing w:after="120"/>
              <w:jc w:val="right"/>
              <w:rPr>
                <w:rFonts w:cs="Times New Roman"/>
              </w:rPr>
            </w:pPr>
            <w:r w:rsidRPr="007C3A07">
              <w:rPr>
                <w:rFonts w:cs="Times New Roman"/>
                <w:noProof/>
                <w:lang w:eastAsia="ru-RU"/>
              </w:rPr>
              <w:drawing>
                <wp:inline distT="0" distB="0" distL="0" distR="0" wp14:anchorId="1991A31C" wp14:editId="032B2D96">
                  <wp:extent cx="3089564" cy="2098964"/>
                  <wp:effectExtent l="19050" t="0" r="0" b="0"/>
                  <wp:docPr id="2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A44E5D" w:rsidRPr="001A1C28" w:rsidTr="00A44E5D">
        <w:tc>
          <w:tcPr>
            <w:tcW w:w="4928" w:type="dxa"/>
          </w:tcPr>
          <w:p w:rsidR="00A44E5D" w:rsidRDefault="00A44E5D" w:rsidP="00A44E5D">
            <w:pPr>
              <w:spacing w:after="120"/>
              <w:rPr>
                <w:rFonts w:cs="Times New Roman"/>
                <w:i/>
                <w:sz w:val="20"/>
              </w:rPr>
            </w:pPr>
            <w:r>
              <w:rPr>
                <w:rFonts w:cs="Times New Roman"/>
                <w:i/>
                <w:sz w:val="20"/>
              </w:rPr>
              <w:t>* оценка</w:t>
            </w:r>
          </w:p>
          <w:p w:rsidR="00A44E5D" w:rsidRPr="00E434FF" w:rsidRDefault="00A44E5D" w:rsidP="00A44E5D">
            <w:pPr>
              <w:spacing w:after="120"/>
              <w:rPr>
                <w:rFonts w:cs="Times New Roman"/>
                <w:i/>
                <w:sz w:val="20"/>
              </w:rPr>
            </w:pPr>
            <w:r w:rsidRPr="004F422A">
              <w:rPr>
                <w:rFonts w:cs="Times New Roman"/>
                <w:i/>
                <w:sz w:val="20"/>
              </w:rPr>
              <w:t xml:space="preserve">Источник: </w:t>
            </w:r>
            <w:r w:rsidRPr="00F5306D">
              <w:rPr>
                <w:rFonts w:cs="Times New Roman"/>
                <w:i/>
                <w:sz w:val="20"/>
                <w:lang w:val="en-US"/>
              </w:rPr>
              <w:t>Deloitte</w:t>
            </w:r>
          </w:p>
        </w:tc>
        <w:tc>
          <w:tcPr>
            <w:tcW w:w="5068" w:type="dxa"/>
          </w:tcPr>
          <w:p w:rsidR="00A44E5D" w:rsidRPr="00AF52B2" w:rsidRDefault="00A44E5D" w:rsidP="00A44E5D">
            <w:pPr>
              <w:spacing w:after="120"/>
              <w:jc w:val="right"/>
              <w:rPr>
                <w:rFonts w:cs="Times New Roman"/>
                <w:i/>
                <w:sz w:val="20"/>
                <w:lang w:val="en-US"/>
              </w:rPr>
            </w:pPr>
          </w:p>
          <w:p w:rsidR="00A44E5D" w:rsidRPr="00AF52B2" w:rsidRDefault="00A44E5D" w:rsidP="00A44E5D">
            <w:pPr>
              <w:spacing w:after="120"/>
              <w:jc w:val="right"/>
              <w:rPr>
                <w:rFonts w:cs="Times New Roman"/>
                <w:lang w:val="en-US"/>
              </w:rPr>
            </w:pPr>
            <w:r w:rsidRPr="004F422A">
              <w:rPr>
                <w:rFonts w:cs="Times New Roman"/>
                <w:i/>
                <w:sz w:val="20"/>
              </w:rPr>
              <w:t>Источник</w:t>
            </w:r>
            <w:r w:rsidRPr="00B62F5D">
              <w:rPr>
                <w:rFonts w:cs="Times New Roman"/>
                <w:i/>
                <w:sz w:val="20"/>
                <w:lang w:val="en-US"/>
              </w:rPr>
              <w:t xml:space="preserve">: </w:t>
            </w:r>
            <w:r w:rsidRPr="00B96EBC">
              <w:rPr>
                <w:rFonts w:cs="Times New Roman"/>
                <w:i/>
                <w:sz w:val="20"/>
                <w:lang w:val="en-US"/>
              </w:rPr>
              <w:t>BP Statistical Review of World Energy</w:t>
            </w:r>
          </w:p>
        </w:tc>
      </w:tr>
    </w:tbl>
    <w:p w:rsidR="00A44E5D" w:rsidRPr="00B62F5D" w:rsidRDefault="00A44E5D" w:rsidP="00A24C32">
      <w:pPr>
        <w:spacing w:after="120" w:line="240" w:lineRule="auto"/>
        <w:ind w:firstLine="709"/>
        <w:jc w:val="both"/>
        <w:rPr>
          <w:rFonts w:ascii="Times New Roman" w:hAnsi="Times New Roman" w:cs="Times New Roman"/>
          <w:sz w:val="24"/>
          <w:szCs w:val="24"/>
          <w:lang w:val="en-US"/>
        </w:rPr>
      </w:pP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Проведенный налоговый маневр позволяет зафиксировать статус-кво, однако не способен решить проблемы восстановления ресурсной базы. Вопрос упирается в необходимость значительных инвестиций, которых у компаний просто нет. И даже если продолжить политику предоставления адресных льгот для </w:t>
      </w:r>
      <w:proofErr w:type="spellStart"/>
      <w:r w:rsidRPr="00D50C42">
        <w:rPr>
          <w:rFonts w:ascii="Times New Roman" w:hAnsi="Times New Roman" w:cs="Times New Roman"/>
          <w:sz w:val="26"/>
          <w:szCs w:val="26"/>
        </w:rPr>
        <w:t>трудноизвлекаемых</w:t>
      </w:r>
      <w:proofErr w:type="spellEnd"/>
      <w:r w:rsidRPr="00D50C42">
        <w:rPr>
          <w:rFonts w:ascii="Times New Roman" w:hAnsi="Times New Roman" w:cs="Times New Roman"/>
          <w:sz w:val="26"/>
          <w:szCs w:val="26"/>
        </w:rPr>
        <w:t xml:space="preserve"> запасов, она не позволит п</w:t>
      </w:r>
      <w:r w:rsidR="007828CD">
        <w:rPr>
          <w:rFonts w:ascii="Times New Roman" w:hAnsi="Times New Roman" w:cs="Times New Roman"/>
          <w:sz w:val="26"/>
          <w:szCs w:val="26"/>
        </w:rPr>
        <w:t>е</w:t>
      </w:r>
      <w:r w:rsidRPr="00D50C42">
        <w:rPr>
          <w:rFonts w:ascii="Times New Roman" w:hAnsi="Times New Roman" w:cs="Times New Roman"/>
          <w:sz w:val="26"/>
          <w:szCs w:val="26"/>
        </w:rPr>
        <w:t>реломить формирующуюся негативную тенденцию.</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Поэтому возникает вопрос об оценке альтернативы использования изымаемых налогами ресурсов для решения насущных задач отрасли. На повестке дня дальнейшее распространение налоговых льгот (сегодня они охватывают уже почти треть добычи) или применение таких инструментов налогообложения как налог на дополнительный доход (НДД) или налог на финансовый результат (НФР). </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Основой для расчета НДД является денежный поток от добычи нефти и Р-фактор, отражающий в той или иной мере экономическую эффективность разработки конкретного месторождения. НДД учитывает горно-геологические и географические условия добычи углеводородов, так как напрямую </w:t>
      </w:r>
      <w:proofErr w:type="gramStart"/>
      <w:r w:rsidRPr="00D50C42">
        <w:rPr>
          <w:rFonts w:ascii="Times New Roman" w:hAnsi="Times New Roman" w:cs="Times New Roman"/>
          <w:sz w:val="26"/>
          <w:szCs w:val="26"/>
        </w:rPr>
        <w:t>связан</w:t>
      </w:r>
      <w:proofErr w:type="gramEnd"/>
      <w:r w:rsidRPr="00D50C42">
        <w:rPr>
          <w:rFonts w:ascii="Times New Roman" w:hAnsi="Times New Roman" w:cs="Times New Roman"/>
          <w:sz w:val="26"/>
          <w:szCs w:val="26"/>
        </w:rPr>
        <w:t xml:space="preserve"> с показателями прибыльности месторождения (с дополнительным доходом и Р-фактором). </w:t>
      </w:r>
      <w:r w:rsidRPr="00D50C42">
        <w:rPr>
          <w:rFonts w:ascii="Times New Roman" w:hAnsi="Times New Roman" w:cs="Times New Roman"/>
          <w:sz w:val="26"/>
          <w:szCs w:val="26"/>
        </w:rPr>
        <w:lastRenderedPageBreak/>
        <w:t>Плавающая ставка НДД делает такую систему привлекательной для разработки новых лицензионных участков. В то же время формируется риск, что компания может так планировать свою деятельность, чтобы находиться в области низкой налоговой ставки, не повышая эффективность производства.</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Базой для расчета НФР является прибыль. Наиболее распространены в мировой практике фиксированные ставки налогообложения прибыли. В отличие от плавающей ставки НДД ставка НФР зафиксирована на высоком уровне, что для может восприниматься негативно многих новых проектов, но приветствоваться в тех проектах, которые уже генерируют прибыль </w:t>
      </w:r>
      <w:proofErr w:type="gramStart"/>
      <w:r w:rsidRPr="00D50C42">
        <w:rPr>
          <w:rFonts w:ascii="Times New Roman" w:hAnsi="Times New Roman" w:cs="Times New Roman"/>
          <w:sz w:val="26"/>
          <w:szCs w:val="26"/>
        </w:rPr>
        <w:t>и</w:t>
      </w:r>
      <w:proofErr w:type="gramEnd"/>
      <w:r w:rsidRPr="00D50C42">
        <w:rPr>
          <w:rFonts w:ascii="Times New Roman" w:hAnsi="Times New Roman" w:cs="Times New Roman"/>
          <w:sz w:val="26"/>
          <w:szCs w:val="26"/>
        </w:rPr>
        <w:t xml:space="preserve"> где за счет применения новых технологий добычи можно повысить рентабельность проекта. Для бюджета основной риск заключается в сложности </w:t>
      </w:r>
      <w:proofErr w:type="gramStart"/>
      <w:r w:rsidRPr="00D50C42">
        <w:rPr>
          <w:rFonts w:ascii="Times New Roman" w:hAnsi="Times New Roman" w:cs="Times New Roman"/>
          <w:sz w:val="26"/>
          <w:szCs w:val="26"/>
        </w:rPr>
        <w:t>контроля за</w:t>
      </w:r>
      <w:proofErr w:type="gramEnd"/>
      <w:r w:rsidRPr="00D50C42">
        <w:rPr>
          <w:rFonts w:ascii="Times New Roman" w:hAnsi="Times New Roman" w:cs="Times New Roman"/>
          <w:sz w:val="26"/>
          <w:szCs w:val="26"/>
        </w:rPr>
        <w:t xml:space="preserve"> расходами, уменьшающими налогооблагаемую базу.</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В целом, внедрению этих налогов должна предшествовать разработка специального законодательства, регулирующего трансфертное ценообразование. Российский рынок сырой нефти характеризуется высокой концентрацией нефти в рамках вертикально-интегрированных нефтяных компаний, на которые приходится 87% добычи в стране, непрозрачностью и ограниченным числом участников, большинство из которых интегрировано или связано с ВИНК. Транспортные ограничения делают рынок сырой нефти еще менее конкурентным. В результате, несмотря на достаточно активную работу ФАС и выделение специализированных дивизионов в составе ВИНК, на внутрироссийском рынке нефти доминируют трансфертные цены, которые не могут служить прогнозируемой базой для налогообложения.</w:t>
      </w:r>
    </w:p>
    <w:p w:rsidR="00A44E5D" w:rsidRPr="00D50C42" w:rsidRDefault="00A44E5D" w:rsidP="00A24C32">
      <w:pPr>
        <w:spacing w:after="120" w:line="240" w:lineRule="auto"/>
        <w:ind w:firstLine="709"/>
        <w:jc w:val="both"/>
        <w:rPr>
          <w:rFonts w:ascii="Times New Roman" w:hAnsi="Times New Roman" w:cs="Times New Roman"/>
          <w:sz w:val="26"/>
          <w:szCs w:val="26"/>
        </w:rPr>
      </w:pPr>
      <w:proofErr w:type="gramStart"/>
      <w:r w:rsidRPr="00D50C42">
        <w:rPr>
          <w:rFonts w:ascii="Times New Roman" w:hAnsi="Times New Roman" w:cs="Times New Roman"/>
          <w:sz w:val="26"/>
          <w:szCs w:val="26"/>
        </w:rPr>
        <w:t xml:space="preserve">Кроме того, эффективность системы налогообложения, ориентированной на финансовый результат, чрезвычайно зависит от качества нефтяного рынка, а именно наличия развитого </w:t>
      </w:r>
      <w:proofErr w:type="spellStart"/>
      <w:r w:rsidRPr="00D50C42">
        <w:rPr>
          <w:rFonts w:ascii="Times New Roman" w:hAnsi="Times New Roman" w:cs="Times New Roman"/>
          <w:sz w:val="26"/>
          <w:szCs w:val="26"/>
        </w:rPr>
        <w:t>нефтесервисного</w:t>
      </w:r>
      <w:proofErr w:type="spellEnd"/>
      <w:r w:rsidRPr="00D50C42">
        <w:rPr>
          <w:rFonts w:ascii="Times New Roman" w:hAnsi="Times New Roman" w:cs="Times New Roman"/>
          <w:sz w:val="26"/>
          <w:szCs w:val="26"/>
        </w:rPr>
        <w:t xml:space="preserve"> рынка с доступом к ведущим технологиям, наличия большого числа малых и крупных игроков, способных войти в новый проект или интенсифицировать добычу на выбывающем фонде скважин, наличия рынка новых и эксплуатируемых проектов различного масштаба и т.д.</w:t>
      </w:r>
      <w:proofErr w:type="gramEnd"/>
      <w:r w:rsidRPr="00D50C42">
        <w:rPr>
          <w:rFonts w:ascii="Times New Roman" w:hAnsi="Times New Roman" w:cs="Times New Roman"/>
          <w:sz w:val="26"/>
          <w:szCs w:val="26"/>
        </w:rPr>
        <w:t xml:space="preserve"> К сожалению, ничего этого на российском рынке сегодня не наблюдается. </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Можно достаточно уверенно говорить о том, что в условиях благоприятной конъюнктуры сырьевых рынков эксперименты с НДД и НФР могли бы быть относительно удачными, однако в условиях неблагоприятной конъюнктуры, сопровождающ</w:t>
      </w:r>
      <w:r w:rsidR="007828CD">
        <w:rPr>
          <w:rFonts w:ascii="Times New Roman" w:hAnsi="Times New Roman" w:cs="Times New Roman"/>
          <w:sz w:val="26"/>
          <w:szCs w:val="26"/>
        </w:rPr>
        <w:t>ейся</w:t>
      </w:r>
      <w:r w:rsidRPr="00D50C42">
        <w:rPr>
          <w:rFonts w:ascii="Times New Roman" w:hAnsi="Times New Roman" w:cs="Times New Roman"/>
          <w:sz w:val="26"/>
          <w:szCs w:val="26"/>
        </w:rPr>
        <w:t xml:space="preserve"> ограничением в доступе на рынок технологий, они, скорее всего, не смогут выполнять ни фискальные, ни отраслевые задачи, возложенные на них. По оценкам Минэнерго, при цене нефти 50 долл. за баррель значительная часть новых проектов по добыче нефти и газа в Арктике и Восточной Сибири становится нерентабельной, что влечет сокращение поступлений в бюджет.</w:t>
      </w:r>
    </w:p>
    <w:p w:rsidR="00A44E5D" w:rsidRPr="00D50C42" w:rsidRDefault="00A44E5D" w:rsidP="00A24C32">
      <w:pPr>
        <w:spacing w:after="120" w:line="240" w:lineRule="auto"/>
        <w:ind w:firstLine="709"/>
        <w:jc w:val="both"/>
        <w:rPr>
          <w:rFonts w:ascii="Times New Roman" w:hAnsi="Times New Roman" w:cs="Times New Roman"/>
          <w:sz w:val="26"/>
          <w:szCs w:val="26"/>
        </w:rPr>
      </w:pPr>
      <w:r w:rsidRPr="00D50C42">
        <w:rPr>
          <w:rFonts w:ascii="Times New Roman" w:hAnsi="Times New Roman" w:cs="Times New Roman"/>
          <w:sz w:val="26"/>
          <w:szCs w:val="26"/>
        </w:rPr>
        <w:t xml:space="preserve">Для решения проблемы восстановления ресурсной базы целесообразно рассмотреть возможность создания специальных отраслевых фондов, аккумулирующих ресурсы на разведку и разработку недр (по аналогии с опытом Канады или специальными инвестиционными контрактами, предусмотренными ФЗ «О промышленной политике»). Те задачи, которые предполагалось решить за счет новых видов налогообложения, могут быть решены и в рамках совершенствования (и синхронизации) амортизационной политики, НДПИ и экспортных пошлин. Одновременно необходимо продолжать оптимизацию существующих налоговых </w:t>
      </w:r>
      <w:r w:rsidRPr="00D50C42">
        <w:rPr>
          <w:rFonts w:ascii="Times New Roman" w:hAnsi="Times New Roman" w:cs="Times New Roman"/>
          <w:sz w:val="26"/>
          <w:szCs w:val="26"/>
        </w:rPr>
        <w:lastRenderedPageBreak/>
        <w:t xml:space="preserve">льгот и административных процедур (не исключая локальные эксперименты с НФР и НДД) в целях стимулирования малых независимых добывающих и </w:t>
      </w:r>
      <w:proofErr w:type="spellStart"/>
      <w:r w:rsidRPr="00D50C42">
        <w:rPr>
          <w:rFonts w:ascii="Times New Roman" w:hAnsi="Times New Roman" w:cs="Times New Roman"/>
          <w:sz w:val="26"/>
          <w:szCs w:val="26"/>
        </w:rPr>
        <w:t>нефтесервисных</w:t>
      </w:r>
      <w:proofErr w:type="spellEnd"/>
      <w:r w:rsidRPr="00D50C42">
        <w:rPr>
          <w:rFonts w:ascii="Times New Roman" w:hAnsi="Times New Roman" w:cs="Times New Roman"/>
          <w:sz w:val="26"/>
          <w:szCs w:val="26"/>
        </w:rPr>
        <w:t xml:space="preserve"> компаний, способных стать агентами для инновационного развития отрасли, и решения вопросов трудоустройства в городах Западной Сибири, где сосредоточен наибольший фонд выбывающих месторождений.</w:t>
      </w:r>
    </w:p>
    <w:p w:rsidR="00A44E5D" w:rsidRDefault="00A44E5D" w:rsidP="00A44E5D">
      <w:pPr>
        <w:spacing w:after="120"/>
        <w:ind w:firstLine="709"/>
        <w:jc w:val="both"/>
        <w:rPr>
          <w:rFonts w:ascii="Times New Roman" w:hAnsi="Times New Roman" w:cs="Times New Roman"/>
          <w:sz w:val="24"/>
          <w:szCs w:val="24"/>
        </w:rPr>
      </w:pPr>
    </w:p>
    <w:p w:rsidR="00A24C32" w:rsidRDefault="00A24C32" w:rsidP="00A44E5D">
      <w:pPr>
        <w:spacing w:after="120"/>
        <w:ind w:firstLine="709"/>
        <w:jc w:val="both"/>
        <w:rPr>
          <w:rFonts w:ascii="Times New Roman" w:hAnsi="Times New Roman" w:cs="Times New Roman"/>
          <w:sz w:val="24"/>
          <w:szCs w:val="24"/>
        </w:rPr>
      </w:pPr>
    </w:p>
    <w:p w:rsidR="00A24C32" w:rsidRDefault="00A24C32" w:rsidP="00A44E5D">
      <w:pPr>
        <w:spacing w:after="120"/>
        <w:ind w:firstLine="709"/>
        <w:jc w:val="both"/>
        <w:rPr>
          <w:rFonts w:ascii="Times New Roman" w:hAnsi="Times New Roman" w:cs="Times New Roman"/>
          <w:sz w:val="24"/>
          <w:szCs w:val="24"/>
        </w:rPr>
      </w:pPr>
    </w:p>
    <w:p w:rsidR="00A24C32" w:rsidRDefault="00A24C32" w:rsidP="00A44E5D">
      <w:pPr>
        <w:spacing w:after="120"/>
        <w:ind w:firstLine="709"/>
        <w:jc w:val="both"/>
        <w:rPr>
          <w:rFonts w:ascii="Times New Roman" w:hAnsi="Times New Roman" w:cs="Times New Roman"/>
          <w:sz w:val="24"/>
          <w:szCs w:val="24"/>
        </w:rPr>
      </w:pPr>
    </w:p>
    <w:p w:rsidR="00A24C32" w:rsidRDefault="00A24C32" w:rsidP="00A44E5D">
      <w:pPr>
        <w:spacing w:after="120"/>
        <w:ind w:firstLine="709"/>
        <w:jc w:val="both"/>
        <w:rPr>
          <w:rFonts w:ascii="Times New Roman" w:hAnsi="Times New Roman" w:cs="Times New Roman"/>
          <w:sz w:val="24"/>
          <w:szCs w:val="24"/>
        </w:rPr>
      </w:pPr>
    </w:p>
    <w:p w:rsidR="00A24C32" w:rsidRDefault="00A24C32" w:rsidP="00A44E5D">
      <w:pPr>
        <w:spacing w:after="120"/>
        <w:ind w:firstLine="709"/>
        <w:jc w:val="both"/>
        <w:rPr>
          <w:rFonts w:ascii="Times New Roman" w:hAnsi="Times New Roman" w:cs="Times New Roman"/>
          <w:sz w:val="24"/>
          <w:szCs w:val="24"/>
        </w:rPr>
      </w:pPr>
    </w:p>
    <w:p w:rsidR="00A24C32" w:rsidRDefault="00A24C32" w:rsidP="00A44E5D">
      <w:pPr>
        <w:spacing w:after="120"/>
        <w:ind w:firstLine="709"/>
        <w:jc w:val="both"/>
        <w:rPr>
          <w:rFonts w:ascii="Times New Roman" w:hAnsi="Times New Roman" w:cs="Times New Roman"/>
          <w:sz w:val="24"/>
          <w:szCs w:val="24"/>
        </w:rPr>
      </w:pPr>
    </w:p>
    <w:p w:rsidR="00A24C32" w:rsidRDefault="00A24C32" w:rsidP="00A44E5D">
      <w:pPr>
        <w:spacing w:after="120"/>
        <w:ind w:firstLine="709"/>
        <w:jc w:val="both"/>
        <w:rPr>
          <w:rFonts w:ascii="Times New Roman" w:hAnsi="Times New Roman" w:cs="Times New Roman"/>
          <w:sz w:val="24"/>
          <w:szCs w:val="24"/>
        </w:rPr>
      </w:pPr>
    </w:p>
    <w:p w:rsidR="00A24C32" w:rsidRDefault="00A24C32" w:rsidP="00A44E5D">
      <w:pPr>
        <w:spacing w:after="120"/>
        <w:ind w:firstLine="709"/>
        <w:jc w:val="both"/>
        <w:rPr>
          <w:rFonts w:ascii="Times New Roman" w:hAnsi="Times New Roman" w:cs="Times New Roman"/>
          <w:sz w:val="24"/>
          <w:szCs w:val="24"/>
        </w:rPr>
      </w:pPr>
    </w:p>
    <w:p w:rsidR="00A24C32" w:rsidRDefault="00A24C32" w:rsidP="00A44E5D">
      <w:pPr>
        <w:spacing w:after="120"/>
        <w:ind w:firstLine="709"/>
        <w:jc w:val="both"/>
        <w:rPr>
          <w:rFonts w:ascii="Times New Roman" w:hAnsi="Times New Roman" w:cs="Times New Roman"/>
          <w:sz w:val="24"/>
          <w:szCs w:val="24"/>
        </w:rPr>
      </w:pPr>
    </w:p>
    <w:p w:rsidR="00A24C32" w:rsidRDefault="00A24C32" w:rsidP="00A44E5D">
      <w:pPr>
        <w:spacing w:after="120"/>
        <w:ind w:firstLine="709"/>
        <w:jc w:val="both"/>
        <w:rPr>
          <w:rFonts w:ascii="Times New Roman" w:hAnsi="Times New Roman" w:cs="Times New Roman"/>
          <w:sz w:val="24"/>
          <w:szCs w:val="24"/>
        </w:rPr>
      </w:pPr>
    </w:p>
    <w:p w:rsidR="00A24C32" w:rsidRDefault="00A24C32" w:rsidP="00A44E5D">
      <w:pPr>
        <w:spacing w:after="120"/>
        <w:ind w:firstLine="709"/>
        <w:jc w:val="both"/>
        <w:rPr>
          <w:rFonts w:ascii="Times New Roman" w:hAnsi="Times New Roman" w:cs="Times New Roman"/>
          <w:sz w:val="24"/>
          <w:szCs w:val="24"/>
        </w:rPr>
      </w:pPr>
    </w:p>
    <w:p w:rsidR="00A24C32" w:rsidRDefault="00A24C32" w:rsidP="00A44E5D">
      <w:pPr>
        <w:spacing w:after="120"/>
        <w:ind w:firstLine="709"/>
        <w:jc w:val="both"/>
        <w:rPr>
          <w:rFonts w:ascii="Times New Roman" w:hAnsi="Times New Roman" w:cs="Times New Roman"/>
          <w:sz w:val="24"/>
          <w:szCs w:val="24"/>
        </w:rPr>
      </w:pPr>
    </w:p>
    <w:p w:rsidR="00A24C32" w:rsidRDefault="00A24C32" w:rsidP="00A44E5D">
      <w:pPr>
        <w:spacing w:after="120"/>
        <w:ind w:firstLine="709"/>
        <w:jc w:val="both"/>
        <w:rPr>
          <w:rFonts w:ascii="Times New Roman" w:hAnsi="Times New Roman" w:cs="Times New Roman"/>
          <w:sz w:val="24"/>
          <w:szCs w:val="24"/>
        </w:rPr>
      </w:pPr>
    </w:p>
    <w:p w:rsidR="00A24C32" w:rsidRDefault="00A24C32" w:rsidP="00A44E5D">
      <w:pPr>
        <w:spacing w:after="120"/>
        <w:ind w:firstLine="709"/>
        <w:jc w:val="both"/>
        <w:rPr>
          <w:rFonts w:ascii="Times New Roman" w:hAnsi="Times New Roman" w:cs="Times New Roman"/>
          <w:sz w:val="24"/>
          <w:szCs w:val="24"/>
        </w:rPr>
      </w:pPr>
    </w:p>
    <w:p w:rsidR="00A24C32" w:rsidRDefault="00A24C32" w:rsidP="00A44E5D">
      <w:pPr>
        <w:spacing w:after="120"/>
        <w:ind w:firstLine="709"/>
        <w:jc w:val="both"/>
        <w:rPr>
          <w:rFonts w:ascii="Times New Roman" w:hAnsi="Times New Roman" w:cs="Times New Roman"/>
          <w:sz w:val="24"/>
          <w:szCs w:val="24"/>
        </w:rPr>
      </w:pPr>
    </w:p>
    <w:p w:rsidR="00A24C32" w:rsidRDefault="00A24C32" w:rsidP="00A44E5D">
      <w:pPr>
        <w:spacing w:after="120"/>
        <w:ind w:firstLine="709"/>
        <w:jc w:val="both"/>
        <w:rPr>
          <w:rFonts w:ascii="Times New Roman" w:hAnsi="Times New Roman" w:cs="Times New Roman"/>
          <w:sz w:val="24"/>
          <w:szCs w:val="24"/>
        </w:rPr>
      </w:pPr>
    </w:p>
    <w:p w:rsidR="00A24C32" w:rsidRDefault="00A24C32" w:rsidP="00A44E5D">
      <w:pPr>
        <w:spacing w:after="120"/>
        <w:ind w:firstLine="709"/>
        <w:jc w:val="both"/>
        <w:rPr>
          <w:rFonts w:ascii="Times New Roman" w:hAnsi="Times New Roman" w:cs="Times New Roman"/>
          <w:sz w:val="24"/>
          <w:szCs w:val="24"/>
        </w:rPr>
      </w:pPr>
    </w:p>
    <w:p w:rsidR="00A24C32" w:rsidRDefault="00A24C32" w:rsidP="00A44E5D">
      <w:pPr>
        <w:spacing w:after="120"/>
        <w:ind w:firstLine="709"/>
        <w:jc w:val="both"/>
        <w:rPr>
          <w:rFonts w:ascii="Times New Roman" w:hAnsi="Times New Roman" w:cs="Times New Roman"/>
          <w:sz w:val="24"/>
          <w:szCs w:val="24"/>
        </w:rPr>
      </w:pPr>
    </w:p>
    <w:p w:rsidR="00A24C32" w:rsidRDefault="00A24C32" w:rsidP="00A44E5D">
      <w:pPr>
        <w:spacing w:after="120"/>
        <w:ind w:firstLine="709"/>
        <w:jc w:val="both"/>
        <w:rPr>
          <w:rFonts w:ascii="Times New Roman" w:hAnsi="Times New Roman" w:cs="Times New Roman"/>
          <w:sz w:val="24"/>
          <w:szCs w:val="24"/>
        </w:rPr>
      </w:pPr>
    </w:p>
    <w:p w:rsidR="00A24C32" w:rsidRDefault="00A24C32" w:rsidP="00A44E5D">
      <w:pPr>
        <w:spacing w:after="120"/>
        <w:ind w:firstLine="709"/>
        <w:jc w:val="both"/>
        <w:rPr>
          <w:rFonts w:ascii="Times New Roman" w:hAnsi="Times New Roman" w:cs="Times New Roman"/>
          <w:sz w:val="24"/>
          <w:szCs w:val="24"/>
        </w:rPr>
      </w:pPr>
    </w:p>
    <w:p w:rsidR="00A24C32" w:rsidRDefault="00A24C32" w:rsidP="00A44E5D">
      <w:pPr>
        <w:spacing w:after="120"/>
        <w:ind w:firstLine="709"/>
        <w:jc w:val="both"/>
        <w:rPr>
          <w:rFonts w:ascii="Times New Roman" w:hAnsi="Times New Roman" w:cs="Times New Roman"/>
          <w:sz w:val="24"/>
          <w:szCs w:val="24"/>
        </w:rPr>
      </w:pPr>
    </w:p>
    <w:p w:rsidR="00A24C32" w:rsidRDefault="00A24C32" w:rsidP="00A44E5D">
      <w:pPr>
        <w:spacing w:after="120"/>
        <w:ind w:firstLine="709"/>
        <w:jc w:val="both"/>
        <w:rPr>
          <w:rFonts w:ascii="Times New Roman" w:hAnsi="Times New Roman" w:cs="Times New Roman"/>
          <w:sz w:val="24"/>
          <w:szCs w:val="24"/>
        </w:rPr>
      </w:pPr>
    </w:p>
    <w:p w:rsidR="00A24C32" w:rsidRDefault="00A24C32" w:rsidP="00A44E5D">
      <w:pPr>
        <w:spacing w:after="120"/>
        <w:ind w:firstLine="709"/>
        <w:jc w:val="both"/>
        <w:rPr>
          <w:rFonts w:ascii="Times New Roman" w:hAnsi="Times New Roman" w:cs="Times New Roman"/>
          <w:sz w:val="24"/>
          <w:szCs w:val="24"/>
        </w:rPr>
      </w:pPr>
    </w:p>
    <w:p w:rsidR="00A44E5D" w:rsidRDefault="00A44E5D" w:rsidP="00A44E5D">
      <w:pPr>
        <w:spacing w:after="120"/>
        <w:ind w:firstLine="709"/>
        <w:jc w:val="both"/>
        <w:rPr>
          <w:rFonts w:ascii="Times New Roman" w:hAnsi="Times New Roman" w:cs="Times New Roman"/>
          <w:sz w:val="24"/>
          <w:szCs w:val="24"/>
        </w:rPr>
      </w:pPr>
    </w:p>
    <w:p w:rsidR="00A44E5D" w:rsidRPr="000F4260" w:rsidRDefault="00A44E5D" w:rsidP="000F4260">
      <w:pPr>
        <w:pStyle w:val="1"/>
        <w:jc w:val="both"/>
        <w:rPr>
          <w:rFonts w:ascii="Times New Roman" w:hAnsi="Times New Roman" w:cs="Times New Roman"/>
          <w:color w:val="1F497D" w:themeColor="text2"/>
        </w:rPr>
      </w:pPr>
      <w:bookmarkStart w:id="201" w:name="_Toc430150454"/>
      <w:bookmarkStart w:id="202" w:name="_Toc431474326"/>
      <w:r w:rsidRPr="000F4260">
        <w:rPr>
          <w:rFonts w:ascii="Times New Roman" w:hAnsi="Times New Roman" w:cs="Times New Roman"/>
          <w:color w:val="1F497D" w:themeColor="text2"/>
        </w:rPr>
        <w:lastRenderedPageBreak/>
        <w:t>Негативные вызовы, связанные с изменениями на мировых рынках</w:t>
      </w:r>
      <w:r w:rsidR="006630CA" w:rsidRPr="000F4260">
        <w:rPr>
          <w:rFonts w:ascii="Times New Roman" w:hAnsi="Times New Roman" w:cs="Times New Roman"/>
          <w:color w:val="1F497D" w:themeColor="text2"/>
        </w:rPr>
        <w:t xml:space="preserve"> </w:t>
      </w:r>
      <w:r w:rsidRPr="000F4260">
        <w:rPr>
          <w:rFonts w:ascii="Times New Roman" w:hAnsi="Times New Roman" w:cs="Times New Roman"/>
          <w:color w:val="1F497D" w:themeColor="text2"/>
        </w:rPr>
        <w:t xml:space="preserve"> нефти и газа</w:t>
      </w:r>
      <w:bookmarkStart w:id="203" w:name="_Toc430150455"/>
      <w:bookmarkEnd w:id="201"/>
      <w:bookmarkEnd w:id="202"/>
    </w:p>
    <w:p w:rsidR="00A44E5D" w:rsidRPr="00922DFA" w:rsidRDefault="00A44E5D" w:rsidP="000F4260">
      <w:pPr>
        <w:pStyle w:val="1"/>
        <w:rPr>
          <w:rFonts w:ascii="Times New Roman" w:hAnsi="Times New Roman" w:cs="Times New Roman"/>
          <w:i/>
          <w:color w:val="1F497D" w:themeColor="text2"/>
          <w:sz w:val="26"/>
          <w:szCs w:val="26"/>
        </w:rPr>
      </w:pPr>
      <w:bookmarkStart w:id="204" w:name="_Toc431474327"/>
      <w:r w:rsidRPr="00922DFA">
        <w:rPr>
          <w:rFonts w:ascii="Times New Roman" w:hAnsi="Times New Roman" w:cs="Times New Roman"/>
          <w:i/>
          <w:color w:val="1F497D" w:themeColor="text2"/>
          <w:sz w:val="26"/>
          <w:szCs w:val="26"/>
        </w:rPr>
        <w:t>Ценообразование и проблемы прогнозирования</w:t>
      </w:r>
      <w:bookmarkEnd w:id="203"/>
      <w:bookmarkEnd w:id="204"/>
    </w:p>
    <w:p w:rsidR="00A44E5D" w:rsidRPr="001B5624" w:rsidRDefault="00A44E5D" w:rsidP="00A44E5D">
      <w:pPr>
        <w:ind w:firstLine="709"/>
        <w:jc w:val="both"/>
        <w:rPr>
          <w:rFonts w:ascii="Times New Roman" w:hAnsi="Times New Roman" w:cs="Times New Roman"/>
          <w:sz w:val="26"/>
          <w:szCs w:val="26"/>
        </w:rPr>
      </w:pPr>
      <w:r w:rsidRPr="001B5624">
        <w:rPr>
          <w:rFonts w:ascii="Times New Roman" w:hAnsi="Times New Roman" w:cs="Times New Roman"/>
          <w:sz w:val="26"/>
          <w:szCs w:val="26"/>
        </w:rPr>
        <w:t>Текущий этап эволюции ценообразования на нефть на международных рынках обладает рядом существенных особенностей:</w:t>
      </w:r>
    </w:p>
    <w:p w:rsidR="00A44E5D" w:rsidRPr="006630CA" w:rsidRDefault="00A44E5D" w:rsidP="006630CA">
      <w:pPr>
        <w:pStyle w:val="a5"/>
        <w:numPr>
          <w:ilvl w:val="0"/>
          <w:numId w:val="10"/>
        </w:numPr>
        <w:jc w:val="both"/>
        <w:rPr>
          <w:rFonts w:ascii="Times New Roman" w:hAnsi="Times New Roman" w:cs="Times New Roman"/>
          <w:sz w:val="26"/>
          <w:szCs w:val="26"/>
        </w:rPr>
      </w:pPr>
      <w:r w:rsidRPr="006630CA">
        <w:rPr>
          <w:rFonts w:ascii="Times New Roman" w:hAnsi="Times New Roman" w:cs="Times New Roman"/>
          <w:sz w:val="26"/>
          <w:szCs w:val="26"/>
        </w:rPr>
        <w:t>сочетание периодов высокой волатильности (2008-2009 гг., 2014-2015 гг.) и периодов стабилизации, когда цены движутся в строго ограниченном коридоре (2011-2013 гг.);</w:t>
      </w:r>
    </w:p>
    <w:p w:rsidR="00A44E5D" w:rsidRPr="006630CA" w:rsidRDefault="00A44E5D" w:rsidP="006630CA">
      <w:pPr>
        <w:pStyle w:val="a5"/>
        <w:numPr>
          <w:ilvl w:val="0"/>
          <w:numId w:val="10"/>
        </w:numPr>
        <w:jc w:val="both"/>
        <w:rPr>
          <w:rFonts w:ascii="Times New Roman" w:hAnsi="Times New Roman" w:cs="Times New Roman"/>
          <w:sz w:val="26"/>
          <w:szCs w:val="26"/>
        </w:rPr>
      </w:pPr>
      <w:r w:rsidRPr="006630CA">
        <w:rPr>
          <w:rFonts w:ascii="Times New Roman" w:hAnsi="Times New Roman" w:cs="Times New Roman"/>
          <w:sz w:val="26"/>
          <w:szCs w:val="26"/>
        </w:rPr>
        <w:t>возрастание роли фундаментальных факторов (баланса спроса и предложения) в динамике цен после продолжительного периода преобладания финансовых и геополитических факторов (2001-2013 гг.). С середины 2014 г. взрывообразный рост добычи сланцевой нефти в США в сочетании с восстановлением добычи в странах ОПЕК привели к усилению дисбаланса и способствовали резкому падению цен на нефть осенью 2014 г.;</w:t>
      </w:r>
    </w:p>
    <w:p w:rsidR="00A44E5D" w:rsidRPr="006630CA" w:rsidRDefault="00A44E5D" w:rsidP="006630CA">
      <w:pPr>
        <w:pStyle w:val="a5"/>
        <w:numPr>
          <w:ilvl w:val="0"/>
          <w:numId w:val="10"/>
        </w:numPr>
        <w:jc w:val="both"/>
        <w:rPr>
          <w:rFonts w:ascii="Times New Roman" w:hAnsi="Times New Roman" w:cs="Times New Roman"/>
          <w:sz w:val="26"/>
          <w:szCs w:val="26"/>
        </w:rPr>
      </w:pPr>
      <w:r w:rsidRPr="006630CA">
        <w:rPr>
          <w:rFonts w:ascii="Times New Roman" w:hAnsi="Times New Roman" w:cs="Times New Roman"/>
          <w:sz w:val="26"/>
          <w:szCs w:val="26"/>
        </w:rPr>
        <w:t xml:space="preserve">сохранение высокой чувствительности динамики цен на товарных нефтяных рынках к </w:t>
      </w:r>
      <w:proofErr w:type="spellStart"/>
      <w:r w:rsidRPr="006630CA">
        <w:rPr>
          <w:rFonts w:ascii="Times New Roman" w:hAnsi="Times New Roman" w:cs="Times New Roman"/>
          <w:sz w:val="26"/>
          <w:szCs w:val="26"/>
        </w:rPr>
        <w:t>перетокам</w:t>
      </w:r>
      <w:proofErr w:type="spellEnd"/>
      <w:r w:rsidRPr="006630CA">
        <w:rPr>
          <w:rFonts w:ascii="Times New Roman" w:hAnsi="Times New Roman" w:cs="Times New Roman"/>
          <w:sz w:val="26"/>
          <w:szCs w:val="26"/>
        </w:rPr>
        <w:t xml:space="preserve"> капитала с финансовых рынков (как следствие реализации программ количественного смягчения, проводимых  ФРС США, ЕЦБ и др.) и изменению курса доллара США как основной валюты, в которой номинируются цены на нефть.</w:t>
      </w:r>
    </w:p>
    <w:p w:rsidR="00A44E5D" w:rsidRPr="001B5624" w:rsidRDefault="00A44E5D" w:rsidP="007828CD">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Ценообразование на международных нефтяных рынках остается многофакторным и зависимым от внешних воздействий (</w:t>
      </w:r>
      <w:proofErr w:type="spellStart"/>
      <w:r w:rsidRPr="001B5624">
        <w:rPr>
          <w:rFonts w:ascii="Times New Roman" w:hAnsi="Times New Roman" w:cs="Times New Roman"/>
          <w:sz w:val="26"/>
          <w:szCs w:val="26"/>
        </w:rPr>
        <w:t>перетоков</w:t>
      </w:r>
      <w:proofErr w:type="spellEnd"/>
      <w:r w:rsidRPr="001B5624">
        <w:rPr>
          <w:rFonts w:ascii="Times New Roman" w:hAnsi="Times New Roman" w:cs="Times New Roman"/>
          <w:sz w:val="26"/>
          <w:szCs w:val="26"/>
        </w:rPr>
        <w:t xml:space="preserve"> капитала, геополитических рисков, реже – природно-климатических явлений). Вместе с тем, как показал опыт 2014-2015 гг., существенный отрыв цен от баланса спроса и предложения нефти возможен лишь в периоды относительной стабилизации этого баланса. </w:t>
      </w:r>
      <w:proofErr w:type="gramStart"/>
      <w:r w:rsidRPr="001B5624">
        <w:rPr>
          <w:rFonts w:ascii="Times New Roman" w:hAnsi="Times New Roman" w:cs="Times New Roman"/>
          <w:sz w:val="26"/>
          <w:szCs w:val="26"/>
        </w:rPr>
        <w:t>С другой стороны, обвал мировых цен на нефть, произошедший осенью 2014 г., был бы невозможен в условиях сохранения программ количественного смягчения в США (</w:t>
      </w:r>
      <w:r w:rsidRPr="001B5624">
        <w:rPr>
          <w:rFonts w:ascii="Times New Roman" w:hAnsi="Times New Roman" w:cs="Times New Roman"/>
          <w:sz w:val="26"/>
          <w:szCs w:val="26"/>
          <w:lang w:val="en-US"/>
        </w:rPr>
        <w:t>QE</w:t>
      </w:r>
      <w:r w:rsidRPr="001B5624">
        <w:rPr>
          <w:rFonts w:ascii="Times New Roman" w:hAnsi="Times New Roman" w:cs="Times New Roman"/>
          <w:sz w:val="26"/>
          <w:szCs w:val="26"/>
        </w:rPr>
        <w:t>3 была завершена 29 октября 2014 г.) и угрозы большой войны в Персидском заливе с участием Саудовской Аравии и Ирана (реальное движение в сторону отмены санкций против Ирана было начато 24 ноября 2013 г.).</w:t>
      </w:r>
      <w:proofErr w:type="gramEnd"/>
      <w:r w:rsidRPr="001B5624">
        <w:rPr>
          <w:rFonts w:ascii="Times New Roman" w:hAnsi="Times New Roman" w:cs="Times New Roman"/>
          <w:sz w:val="26"/>
          <w:szCs w:val="26"/>
        </w:rPr>
        <w:t xml:space="preserve"> Иные геополитические риски, включая войну с ИГИЛ, украинский кризис и пр., не угрожающие непосредственно нефтедобывающим районам, и ранее не играли существенной роли в динамике цен на нефть.</w:t>
      </w:r>
    </w:p>
    <w:p w:rsidR="00A44E5D" w:rsidRPr="001B5624" w:rsidRDefault="00A44E5D" w:rsidP="006630CA">
      <w:pPr>
        <w:spacing w:line="240" w:lineRule="auto"/>
        <w:ind w:firstLine="709"/>
        <w:jc w:val="both"/>
        <w:rPr>
          <w:rFonts w:ascii="Times New Roman" w:hAnsi="Times New Roman" w:cs="Times New Roman"/>
          <w:sz w:val="26"/>
          <w:szCs w:val="26"/>
        </w:rPr>
      </w:pPr>
      <w:proofErr w:type="gramStart"/>
      <w:r w:rsidRPr="001B5624">
        <w:rPr>
          <w:rFonts w:ascii="Times New Roman" w:hAnsi="Times New Roman" w:cs="Times New Roman"/>
          <w:sz w:val="26"/>
          <w:szCs w:val="26"/>
        </w:rPr>
        <w:t>Столь сложный характер ценообразования, отражающий одновременно тенденции развития мировой экономики и экономики отдельных стран (США и КНР), динамики развития финансовых рынков (индекс доллара США, доходность наиболее ликвидных инвестиционных активов), международные отношения (главным образом, военные угрозы в зоне Персидского залива) и фундаментальные факторы нефтяного рынка (изменение спроса на моторные топлива в США, КНР и ЕС, складских запасов нефти в США, свободных</w:t>
      </w:r>
      <w:proofErr w:type="gramEnd"/>
      <w:r w:rsidRPr="001B5624">
        <w:rPr>
          <w:rFonts w:ascii="Times New Roman" w:hAnsi="Times New Roman" w:cs="Times New Roman"/>
          <w:sz w:val="26"/>
          <w:szCs w:val="26"/>
        </w:rPr>
        <w:t xml:space="preserve"> добычных мощностей Саудовской Аравии и компаний, добывающих сланцевую нефть в США, динамика издержек производителей, динамика инвестиций в разведку и добычу нефти и пр.), не позволил</w:t>
      </w:r>
      <w:r w:rsidR="007828CD">
        <w:rPr>
          <w:rFonts w:ascii="Times New Roman" w:hAnsi="Times New Roman" w:cs="Times New Roman"/>
          <w:sz w:val="26"/>
          <w:szCs w:val="26"/>
        </w:rPr>
        <w:t>и</w:t>
      </w:r>
      <w:r w:rsidRPr="001B5624">
        <w:rPr>
          <w:rFonts w:ascii="Times New Roman" w:hAnsi="Times New Roman" w:cs="Times New Roman"/>
          <w:sz w:val="26"/>
          <w:szCs w:val="26"/>
        </w:rPr>
        <w:t xml:space="preserve"> до сих пор разработать имитационную прогнозную модель поведения нефтяных цен, которая бы адекватно отвечала их реальной динамике. </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lastRenderedPageBreak/>
        <w:t xml:space="preserve">В перспективе на нефтяные цены будут воздействовать как постоянные факторы, так и переменные. </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К постоянным факторам, которые будут оказывать понижающее давление на нефтяные цены, прежде всего, относятся:</w:t>
      </w:r>
    </w:p>
    <w:p w:rsidR="00A44E5D" w:rsidRPr="001B5624" w:rsidRDefault="00A44E5D" w:rsidP="006630CA">
      <w:pPr>
        <w:numPr>
          <w:ilvl w:val="0"/>
          <w:numId w:val="3"/>
        </w:numPr>
        <w:spacing w:after="0" w:line="240" w:lineRule="auto"/>
        <w:jc w:val="both"/>
        <w:rPr>
          <w:rFonts w:ascii="Times New Roman" w:hAnsi="Times New Roman" w:cs="Times New Roman"/>
          <w:sz w:val="26"/>
          <w:szCs w:val="26"/>
        </w:rPr>
      </w:pPr>
      <w:r w:rsidRPr="001B5624">
        <w:rPr>
          <w:rFonts w:ascii="Times New Roman" w:hAnsi="Times New Roman" w:cs="Times New Roman"/>
          <w:sz w:val="26"/>
          <w:szCs w:val="26"/>
        </w:rPr>
        <w:t xml:space="preserve">увеличение потенциального предложения нефти на мировом рынке за счет экономически эффективной разработки </w:t>
      </w:r>
      <w:proofErr w:type="spellStart"/>
      <w:r w:rsidRPr="001B5624">
        <w:rPr>
          <w:rFonts w:ascii="Times New Roman" w:hAnsi="Times New Roman" w:cs="Times New Roman"/>
          <w:sz w:val="26"/>
          <w:szCs w:val="26"/>
        </w:rPr>
        <w:t>трудноизвлекаемых</w:t>
      </w:r>
      <w:proofErr w:type="spellEnd"/>
      <w:r w:rsidRPr="001B5624">
        <w:rPr>
          <w:rFonts w:ascii="Times New Roman" w:hAnsi="Times New Roman" w:cs="Times New Roman"/>
          <w:sz w:val="26"/>
          <w:szCs w:val="26"/>
        </w:rPr>
        <w:t xml:space="preserve"> запасов;</w:t>
      </w:r>
    </w:p>
    <w:p w:rsidR="00A44E5D" w:rsidRPr="001B5624" w:rsidRDefault="00A44E5D" w:rsidP="006630CA">
      <w:pPr>
        <w:numPr>
          <w:ilvl w:val="0"/>
          <w:numId w:val="3"/>
        </w:numPr>
        <w:spacing w:after="0" w:line="240" w:lineRule="auto"/>
        <w:jc w:val="both"/>
        <w:rPr>
          <w:rFonts w:ascii="Times New Roman" w:hAnsi="Times New Roman" w:cs="Times New Roman"/>
          <w:sz w:val="26"/>
          <w:szCs w:val="26"/>
        </w:rPr>
      </w:pPr>
      <w:r w:rsidRPr="001B5624">
        <w:rPr>
          <w:rFonts w:ascii="Times New Roman" w:hAnsi="Times New Roman" w:cs="Times New Roman"/>
          <w:sz w:val="26"/>
          <w:szCs w:val="26"/>
        </w:rPr>
        <w:t xml:space="preserve">сужение потенциального роста спроса на нефть со стороны как развитых, так и развивающихся стран в силу снижения </w:t>
      </w:r>
      <w:proofErr w:type="spellStart"/>
      <w:r w:rsidRPr="001B5624">
        <w:rPr>
          <w:rFonts w:ascii="Times New Roman" w:hAnsi="Times New Roman" w:cs="Times New Roman"/>
          <w:sz w:val="26"/>
          <w:szCs w:val="26"/>
        </w:rPr>
        <w:t>нефтеемкости</w:t>
      </w:r>
      <w:proofErr w:type="spellEnd"/>
      <w:r w:rsidRPr="001B5624">
        <w:rPr>
          <w:rFonts w:ascii="Times New Roman" w:hAnsi="Times New Roman" w:cs="Times New Roman"/>
          <w:sz w:val="26"/>
          <w:szCs w:val="26"/>
        </w:rPr>
        <w:t xml:space="preserve"> экономики, изменения структуры автомобильного парка, опережающего развития </w:t>
      </w:r>
      <w:proofErr w:type="spellStart"/>
      <w:r w:rsidRPr="001B5624">
        <w:rPr>
          <w:rFonts w:ascii="Times New Roman" w:hAnsi="Times New Roman" w:cs="Times New Roman"/>
          <w:sz w:val="26"/>
          <w:szCs w:val="26"/>
        </w:rPr>
        <w:t>газохимии</w:t>
      </w:r>
      <w:proofErr w:type="spellEnd"/>
      <w:r w:rsidRPr="001B5624">
        <w:rPr>
          <w:rFonts w:ascii="Times New Roman" w:hAnsi="Times New Roman" w:cs="Times New Roman"/>
          <w:sz w:val="26"/>
          <w:szCs w:val="26"/>
        </w:rPr>
        <w:t xml:space="preserve"> и пр.,   особенно в случае восстановления относительно высоких цен на нефть;</w:t>
      </w:r>
    </w:p>
    <w:p w:rsidR="00A44E5D" w:rsidRPr="001B5624" w:rsidRDefault="00A44E5D" w:rsidP="006630CA">
      <w:pPr>
        <w:numPr>
          <w:ilvl w:val="0"/>
          <w:numId w:val="3"/>
        </w:numPr>
        <w:spacing w:after="0" w:line="240" w:lineRule="auto"/>
        <w:jc w:val="both"/>
        <w:rPr>
          <w:rFonts w:ascii="Times New Roman" w:hAnsi="Times New Roman" w:cs="Times New Roman"/>
          <w:sz w:val="26"/>
          <w:szCs w:val="26"/>
        </w:rPr>
      </w:pPr>
      <w:r w:rsidRPr="001B5624">
        <w:rPr>
          <w:rFonts w:ascii="Times New Roman" w:hAnsi="Times New Roman" w:cs="Times New Roman"/>
          <w:sz w:val="26"/>
          <w:szCs w:val="26"/>
        </w:rPr>
        <w:t xml:space="preserve">неизбежность ужесточения регулирования финансовых рынков в целях преодоления кризисных явлений в мировой экономике. В частности речь идет об установлении спекулятивных ограничений для товарных фьючерсных контрактов и в конечном итоге на свопы подобных производных финансовых инструментов. Наиболее вероятно, хотя и путем преодоления сильного сопротивления участников рынка, возвращение США к нормам банковского закона 1933 г. </w:t>
      </w:r>
      <w:proofErr w:type="spellStart"/>
      <w:r w:rsidRPr="001B5624">
        <w:rPr>
          <w:rFonts w:ascii="Times New Roman" w:hAnsi="Times New Roman" w:cs="Times New Roman"/>
          <w:sz w:val="26"/>
          <w:szCs w:val="26"/>
        </w:rPr>
        <w:t>Гласса-Стигалла</w:t>
      </w:r>
      <w:proofErr w:type="spellEnd"/>
      <w:r w:rsidRPr="001B5624">
        <w:rPr>
          <w:rFonts w:ascii="Times New Roman" w:hAnsi="Times New Roman" w:cs="Times New Roman"/>
          <w:sz w:val="26"/>
          <w:szCs w:val="26"/>
        </w:rPr>
        <w:t xml:space="preserve"> в части запрета коммерческим банкам заниматься инвестициями на финансовых рынках, а также распространение этого закона на рынок ЕС и, возможно, других развитых стран. Это может привести в перспективе к существенному оттоку спекулятивного капитала с товарного рынка нефти.</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К факторам, оказывающим повышающее давление на нефтяные цены можно отнести следующие:</w:t>
      </w:r>
    </w:p>
    <w:p w:rsidR="00A44E5D" w:rsidRPr="006630CA" w:rsidRDefault="00A44E5D" w:rsidP="006630CA">
      <w:pPr>
        <w:pStyle w:val="a5"/>
        <w:numPr>
          <w:ilvl w:val="0"/>
          <w:numId w:val="11"/>
        </w:numPr>
        <w:jc w:val="both"/>
        <w:rPr>
          <w:rFonts w:ascii="Times New Roman" w:hAnsi="Times New Roman" w:cs="Times New Roman"/>
          <w:sz w:val="26"/>
          <w:szCs w:val="26"/>
        </w:rPr>
      </w:pPr>
      <w:r w:rsidRPr="006630CA">
        <w:rPr>
          <w:rFonts w:ascii="Times New Roman" w:hAnsi="Times New Roman" w:cs="Times New Roman"/>
          <w:sz w:val="26"/>
          <w:szCs w:val="26"/>
        </w:rPr>
        <w:t xml:space="preserve">рост средней себестоимости добычи нефти за счет увеличения доли </w:t>
      </w:r>
      <w:proofErr w:type="spellStart"/>
      <w:r w:rsidRPr="006630CA">
        <w:rPr>
          <w:rFonts w:ascii="Times New Roman" w:hAnsi="Times New Roman" w:cs="Times New Roman"/>
          <w:sz w:val="26"/>
          <w:szCs w:val="26"/>
        </w:rPr>
        <w:t>трудноизвлекаемых</w:t>
      </w:r>
      <w:proofErr w:type="spellEnd"/>
      <w:r w:rsidRPr="006630CA">
        <w:rPr>
          <w:rFonts w:ascii="Times New Roman" w:hAnsi="Times New Roman" w:cs="Times New Roman"/>
          <w:sz w:val="26"/>
          <w:szCs w:val="26"/>
        </w:rPr>
        <w:t xml:space="preserve"> запасов (</w:t>
      </w:r>
      <w:proofErr w:type="gramStart"/>
      <w:r w:rsidRPr="006630CA">
        <w:rPr>
          <w:rFonts w:ascii="Times New Roman" w:hAnsi="Times New Roman" w:cs="Times New Roman"/>
          <w:sz w:val="26"/>
          <w:szCs w:val="26"/>
        </w:rPr>
        <w:t>однако</w:t>
      </w:r>
      <w:proofErr w:type="gramEnd"/>
      <w:r w:rsidRPr="006630CA">
        <w:rPr>
          <w:rFonts w:ascii="Times New Roman" w:hAnsi="Times New Roman" w:cs="Times New Roman"/>
          <w:sz w:val="26"/>
          <w:szCs w:val="26"/>
        </w:rPr>
        <w:t xml:space="preserve"> при это следует учитывать обратный процесс повышения экономической эффективности новых технологий и оборудования); </w:t>
      </w:r>
    </w:p>
    <w:p w:rsidR="00A44E5D" w:rsidRPr="006630CA" w:rsidRDefault="00A44E5D" w:rsidP="006630CA">
      <w:pPr>
        <w:pStyle w:val="a5"/>
        <w:numPr>
          <w:ilvl w:val="0"/>
          <w:numId w:val="11"/>
        </w:numPr>
        <w:jc w:val="both"/>
        <w:rPr>
          <w:rFonts w:ascii="Times New Roman" w:hAnsi="Times New Roman" w:cs="Times New Roman"/>
          <w:sz w:val="26"/>
          <w:szCs w:val="26"/>
        </w:rPr>
      </w:pPr>
      <w:r w:rsidRPr="006630CA">
        <w:rPr>
          <w:rFonts w:ascii="Times New Roman" w:hAnsi="Times New Roman" w:cs="Times New Roman"/>
          <w:sz w:val="26"/>
          <w:szCs w:val="26"/>
        </w:rPr>
        <w:t xml:space="preserve">поступательное снижение </w:t>
      </w:r>
      <w:proofErr w:type="spellStart"/>
      <w:r w:rsidRPr="006630CA">
        <w:rPr>
          <w:rFonts w:ascii="Times New Roman" w:hAnsi="Times New Roman" w:cs="Times New Roman"/>
          <w:sz w:val="26"/>
          <w:szCs w:val="26"/>
        </w:rPr>
        <w:t>нефтеемкости</w:t>
      </w:r>
      <w:proofErr w:type="spellEnd"/>
      <w:r w:rsidRPr="006630CA">
        <w:rPr>
          <w:rFonts w:ascii="Times New Roman" w:hAnsi="Times New Roman" w:cs="Times New Roman"/>
          <w:sz w:val="26"/>
          <w:szCs w:val="26"/>
        </w:rPr>
        <w:t xml:space="preserve"> мировой экономики, ограничивающее негативные эффекты для ее развития от роста цен на нефть. Это приводит к тому, что экономика легче приспосабливается к высоким ценам. Отсюда можно сделать вывод об относительности возможного коридора изменений нефтяных котировок, где верхний уровень, в номинальных ценах, может постоянно смещаться вверх;</w:t>
      </w:r>
    </w:p>
    <w:p w:rsidR="00A44E5D" w:rsidRPr="006630CA" w:rsidRDefault="00A44E5D" w:rsidP="006630CA">
      <w:pPr>
        <w:pStyle w:val="a5"/>
        <w:numPr>
          <w:ilvl w:val="0"/>
          <w:numId w:val="11"/>
        </w:numPr>
        <w:jc w:val="both"/>
        <w:rPr>
          <w:rFonts w:ascii="Times New Roman" w:hAnsi="Times New Roman" w:cs="Times New Roman"/>
          <w:sz w:val="26"/>
          <w:szCs w:val="26"/>
        </w:rPr>
      </w:pPr>
      <w:r w:rsidRPr="006630CA">
        <w:rPr>
          <w:rFonts w:ascii="Times New Roman" w:hAnsi="Times New Roman" w:cs="Times New Roman"/>
          <w:sz w:val="26"/>
          <w:szCs w:val="26"/>
        </w:rPr>
        <w:t>желательность поддержания относительно высоких цен на нефть для обеспечения конкурентоспособности и окупаемости капиталоемких проектов в области развития возобновляемой и альтернативной энергетики;</w:t>
      </w:r>
    </w:p>
    <w:p w:rsidR="00A44E5D" w:rsidRPr="006630CA" w:rsidRDefault="00A44E5D" w:rsidP="006630CA">
      <w:pPr>
        <w:pStyle w:val="a5"/>
        <w:numPr>
          <w:ilvl w:val="0"/>
          <w:numId w:val="11"/>
        </w:numPr>
        <w:jc w:val="both"/>
        <w:rPr>
          <w:rFonts w:ascii="Times New Roman" w:hAnsi="Times New Roman" w:cs="Times New Roman"/>
          <w:sz w:val="26"/>
          <w:szCs w:val="26"/>
        </w:rPr>
      </w:pPr>
      <w:r w:rsidRPr="006630CA">
        <w:rPr>
          <w:rFonts w:ascii="Times New Roman" w:hAnsi="Times New Roman" w:cs="Times New Roman"/>
          <w:sz w:val="26"/>
          <w:szCs w:val="26"/>
        </w:rPr>
        <w:t>геополитические риски. Основные геополитические риски могут быть связаны с двумя факторами: нестабильность и вооруженные конфликты на Ближнем Востоке и в Центральной Азии; угрозы морским путям транспортировки нефти со стороны пиратства, терроризма и локальных вооруженных конфликтов.</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Также в обоснование прогнозного роста цен на нефть часто приводится фактор возросших бюджетных потребностей стран – членов ОПЕК. Однако данный фактор представляется не вполне состоятельным в силу снижения геополитической роли ОПЕК под влиянием движения США к энергетической самообеспеченности и </w:t>
      </w:r>
      <w:r w:rsidRPr="001B5624">
        <w:rPr>
          <w:rFonts w:ascii="Times New Roman" w:hAnsi="Times New Roman" w:cs="Times New Roman"/>
          <w:sz w:val="26"/>
          <w:szCs w:val="26"/>
        </w:rPr>
        <w:lastRenderedPageBreak/>
        <w:t>существенной диверсификации поставщиков углеводородов со стороны ЕС и стран АТР.</w:t>
      </w:r>
    </w:p>
    <w:p w:rsidR="000F4260" w:rsidRPr="00922DFA" w:rsidRDefault="00A44E5D" w:rsidP="00922DF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В условиях снижения цен на нефть прекратила действовать характерная для периода 2011-2013 гг. тенденция к поддержанию существенного спрэда между ценами на марки нефти </w:t>
      </w:r>
      <w:proofErr w:type="spellStart"/>
      <w:r w:rsidRPr="001B5624">
        <w:rPr>
          <w:rFonts w:ascii="Times New Roman" w:hAnsi="Times New Roman" w:cs="Times New Roman"/>
          <w:sz w:val="26"/>
          <w:szCs w:val="26"/>
        </w:rPr>
        <w:t>Brent</w:t>
      </w:r>
      <w:proofErr w:type="spellEnd"/>
      <w:r w:rsidRPr="001B5624">
        <w:rPr>
          <w:rFonts w:ascii="Times New Roman" w:hAnsi="Times New Roman" w:cs="Times New Roman"/>
          <w:sz w:val="26"/>
          <w:szCs w:val="26"/>
        </w:rPr>
        <w:t xml:space="preserve"> и WTI. По состоянию на сентябрь 2015 г. разница в ценах колеблется в традиционном диапазоне до 2-3 долл. за баррель. Вместе с тем в перспективе изменение соотношений спроса и предложения на региональных рынках, а также перераспределение торговых потоков нефти создают предпосылки для увеличения изоляции трех региональных рынков: Северной Америки с маркером WTI, Европы с маркером  </w:t>
      </w:r>
      <w:proofErr w:type="spellStart"/>
      <w:r w:rsidRPr="001B5624">
        <w:rPr>
          <w:rFonts w:ascii="Times New Roman" w:hAnsi="Times New Roman" w:cs="Times New Roman"/>
          <w:sz w:val="26"/>
          <w:szCs w:val="26"/>
        </w:rPr>
        <w:t>Brent</w:t>
      </w:r>
      <w:proofErr w:type="spellEnd"/>
      <w:r w:rsidRPr="001B5624">
        <w:rPr>
          <w:rFonts w:ascii="Times New Roman" w:hAnsi="Times New Roman" w:cs="Times New Roman"/>
          <w:sz w:val="26"/>
          <w:szCs w:val="26"/>
        </w:rPr>
        <w:t xml:space="preserve"> и АТР, где на данный момент конкурируют сразу несколько маркерных сортов нефти. Эту возможность «регионализации» по-прежнему нельзя не учитывать при прогнозировании</w:t>
      </w:r>
      <w:bookmarkStart w:id="205" w:name="_Toc430150457"/>
      <w:r w:rsidR="000F4260">
        <w:rPr>
          <w:rFonts w:ascii="Times New Roman" w:hAnsi="Times New Roman" w:cs="Times New Roman"/>
          <w:sz w:val="26"/>
          <w:szCs w:val="26"/>
        </w:rPr>
        <w:t xml:space="preserve"> цен нефти.</w:t>
      </w:r>
    </w:p>
    <w:p w:rsidR="006630CA" w:rsidRPr="000F4260" w:rsidRDefault="00A44E5D" w:rsidP="000F4260">
      <w:pPr>
        <w:pStyle w:val="1"/>
        <w:jc w:val="both"/>
        <w:rPr>
          <w:rFonts w:ascii="Times New Roman" w:hAnsi="Times New Roman" w:cs="Times New Roman"/>
          <w:color w:val="1F497D" w:themeColor="text2"/>
        </w:rPr>
      </w:pPr>
      <w:bookmarkStart w:id="206" w:name="_Toc431474328"/>
      <w:r w:rsidRPr="006630CA">
        <w:rPr>
          <w:rFonts w:ascii="Times New Roman" w:hAnsi="Times New Roman" w:cs="Times New Roman"/>
          <w:color w:val="1F497D" w:themeColor="text2"/>
        </w:rPr>
        <w:t>Текущий этап эволюции ценообразования на газ на международных рынках</w:t>
      </w:r>
      <w:bookmarkEnd w:id="205"/>
      <w:bookmarkEnd w:id="206"/>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Исторически международная торговля газом отстает от нефтяного рынка как с точки зрения числа участников и ликвидности, так и развития собственного биржевого ценообразования. Если современный биржевой рынок нефти начал складываться еще в 1986 г., то рынок газа – только в конце 1990-х – 2000-е гг. и до сих пор охватывает лишь отдельные страны (главным образом, США, Великобританию и часть стран континентальной Европы). </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При этом международные механизмы ценообразования на природный газ сохраняют выраженный региональный характер, что продиктовано степенью зрелости отдельных рынков, а также структурой предложения газа на них (долей импорта в общем потреблении, долей долгосрочных контрактов и СПГ в импорте).</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Однако непосредственно на наших глазах происходят масштабные изменения:</w:t>
      </w:r>
    </w:p>
    <w:p w:rsidR="00A44E5D" w:rsidRPr="006630CA" w:rsidRDefault="00A44E5D" w:rsidP="006630CA">
      <w:pPr>
        <w:pStyle w:val="a5"/>
        <w:numPr>
          <w:ilvl w:val="0"/>
          <w:numId w:val="12"/>
        </w:numPr>
        <w:jc w:val="both"/>
        <w:rPr>
          <w:rFonts w:ascii="Times New Roman" w:hAnsi="Times New Roman" w:cs="Times New Roman"/>
          <w:sz w:val="26"/>
          <w:szCs w:val="26"/>
        </w:rPr>
      </w:pPr>
      <w:r w:rsidRPr="006630CA">
        <w:rPr>
          <w:rFonts w:ascii="Times New Roman" w:hAnsi="Times New Roman" w:cs="Times New Roman"/>
          <w:sz w:val="26"/>
          <w:szCs w:val="26"/>
        </w:rPr>
        <w:t xml:space="preserve">быстрый рост доли </w:t>
      </w:r>
      <w:proofErr w:type="spellStart"/>
      <w:r w:rsidRPr="006630CA">
        <w:rPr>
          <w:rFonts w:ascii="Times New Roman" w:hAnsi="Times New Roman" w:cs="Times New Roman"/>
          <w:sz w:val="26"/>
          <w:szCs w:val="26"/>
        </w:rPr>
        <w:t>спотовой</w:t>
      </w:r>
      <w:proofErr w:type="spellEnd"/>
      <w:r w:rsidRPr="006630CA">
        <w:rPr>
          <w:rFonts w:ascii="Times New Roman" w:hAnsi="Times New Roman" w:cs="Times New Roman"/>
          <w:sz w:val="26"/>
          <w:szCs w:val="26"/>
        </w:rPr>
        <w:t xml:space="preserve"> (преимущественно – гибридной) торговли газом  в странах континентальной Европы;</w:t>
      </w:r>
    </w:p>
    <w:p w:rsidR="00A44E5D" w:rsidRPr="006630CA" w:rsidRDefault="00A44E5D" w:rsidP="006630CA">
      <w:pPr>
        <w:pStyle w:val="a5"/>
        <w:numPr>
          <w:ilvl w:val="0"/>
          <w:numId w:val="12"/>
        </w:numPr>
        <w:jc w:val="both"/>
        <w:rPr>
          <w:rFonts w:ascii="Times New Roman" w:hAnsi="Times New Roman" w:cs="Times New Roman"/>
          <w:sz w:val="26"/>
          <w:szCs w:val="26"/>
        </w:rPr>
      </w:pPr>
      <w:r w:rsidRPr="006630CA">
        <w:rPr>
          <w:rFonts w:ascii="Times New Roman" w:hAnsi="Times New Roman" w:cs="Times New Roman"/>
          <w:sz w:val="26"/>
          <w:szCs w:val="26"/>
        </w:rPr>
        <w:t xml:space="preserve">рост межрегиональных связей под воздействием увеличения торговли СПГ, в </w:t>
      </w:r>
      <w:proofErr w:type="spellStart"/>
      <w:r w:rsidRPr="006630CA">
        <w:rPr>
          <w:rFonts w:ascii="Times New Roman" w:hAnsi="Times New Roman" w:cs="Times New Roman"/>
          <w:sz w:val="26"/>
          <w:szCs w:val="26"/>
        </w:rPr>
        <w:t>т.ч</w:t>
      </w:r>
      <w:proofErr w:type="spellEnd"/>
      <w:r w:rsidRPr="006630CA">
        <w:rPr>
          <w:rFonts w:ascii="Times New Roman" w:hAnsi="Times New Roman" w:cs="Times New Roman"/>
          <w:sz w:val="26"/>
          <w:szCs w:val="26"/>
        </w:rPr>
        <w:t xml:space="preserve">. с учетом перспектив начала экспорта СПГ из США на условиях поставок, привязанных к котировкам </w:t>
      </w:r>
      <w:proofErr w:type="spellStart"/>
      <w:r w:rsidRPr="006630CA">
        <w:rPr>
          <w:rFonts w:ascii="Times New Roman" w:hAnsi="Times New Roman" w:cs="Times New Roman"/>
          <w:sz w:val="26"/>
          <w:szCs w:val="26"/>
        </w:rPr>
        <w:t>Henry</w:t>
      </w:r>
      <w:proofErr w:type="spellEnd"/>
      <w:r w:rsidRPr="006630CA">
        <w:rPr>
          <w:rFonts w:ascii="Times New Roman" w:hAnsi="Times New Roman" w:cs="Times New Roman"/>
          <w:sz w:val="26"/>
          <w:szCs w:val="26"/>
        </w:rPr>
        <w:t xml:space="preserve"> </w:t>
      </w:r>
      <w:proofErr w:type="spellStart"/>
      <w:r w:rsidRPr="006630CA">
        <w:rPr>
          <w:rFonts w:ascii="Times New Roman" w:hAnsi="Times New Roman" w:cs="Times New Roman"/>
          <w:sz w:val="26"/>
          <w:szCs w:val="26"/>
        </w:rPr>
        <w:t>Hub</w:t>
      </w:r>
      <w:proofErr w:type="spellEnd"/>
      <w:r w:rsidRPr="006630CA">
        <w:rPr>
          <w:rFonts w:ascii="Times New Roman" w:hAnsi="Times New Roman" w:cs="Times New Roman"/>
          <w:sz w:val="26"/>
          <w:szCs w:val="26"/>
        </w:rPr>
        <w:t>;</w:t>
      </w:r>
    </w:p>
    <w:p w:rsidR="00A44E5D" w:rsidRPr="006630CA" w:rsidRDefault="00A44E5D" w:rsidP="006630CA">
      <w:pPr>
        <w:pStyle w:val="a5"/>
        <w:numPr>
          <w:ilvl w:val="0"/>
          <w:numId w:val="12"/>
        </w:numPr>
        <w:jc w:val="both"/>
        <w:rPr>
          <w:rFonts w:ascii="Times New Roman" w:hAnsi="Times New Roman" w:cs="Times New Roman"/>
          <w:sz w:val="26"/>
          <w:szCs w:val="26"/>
        </w:rPr>
      </w:pPr>
      <w:r w:rsidRPr="006630CA">
        <w:rPr>
          <w:rFonts w:ascii="Times New Roman" w:hAnsi="Times New Roman" w:cs="Times New Roman"/>
          <w:sz w:val="26"/>
          <w:szCs w:val="26"/>
        </w:rPr>
        <w:t xml:space="preserve">кризис традиционной модели ценообразования в Японии и Республике Корее, основанной на </w:t>
      </w:r>
      <w:proofErr w:type="spellStart"/>
      <w:r w:rsidRPr="006630CA">
        <w:rPr>
          <w:rFonts w:ascii="Times New Roman" w:hAnsi="Times New Roman" w:cs="Times New Roman"/>
          <w:sz w:val="26"/>
          <w:szCs w:val="26"/>
        </w:rPr>
        <w:t>нефтепродуктовой</w:t>
      </w:r>
      <w:proofErr w:type="spellEnd"/>
      <w:r w:rsidRPr="006630CA">
        <w:rPr>
          <w:rFonts w:ascii="Times New Roman" w:hAnsi="Times New Roman" w:cs="Times New Roman"/>
          <w:sz w:val="26"/>
          <w:szCs w:val="26"/>
        </w:rPr>
        <w:t xml:space="preserve"> привязке. </w:t>
      </w:r>
      <w:proofErr w:type="gramStart"/>
      <w:r w:rsidRPr="006630CA">
        <w:rPr>
          <w:rFonts w:ascii="Times New Roman" w:hAnsi="Times New Roman" w:cs="Times New Roman"/>
          <w:sz w:val="26"/>
          <w:szCs w:val="26"/>
        </w:rPr>
        <w:t xml:space="preserve">Весной 2015 г. на этом рынке произошла собственная маленькая революция: впервые после 2005-2006 гг. цены на СПГ в Японии сравнялись с ценами на европейских газовых </w:t>
      </w:r>
      <w:proofErr w:type="spellStart"/>
      <w:r w:rsidRPr="006630CA">
        <w:rPr>
          <w:rFonts w:ascii="Times New Roman" w:hAnsi="Times New Roman" w:cs="Times New Roman"/>
          <w:sz w:val="26"/>
          <w:szCs w:val="26"/>
        </w:rPr>
        <w:t>хабах</w:t>
      </w:r>
      <w:proofErr w:type="spellEnd"/>
      <w:r w:rsidRPr="006630CA">
        <w:rPr>
          <w:rFonts w:ascii="Times New Roman" w:hAnsi="Times New Roman" w:cs="Times New Roman"/>
          <w:sz w:val="26"/>
          <w:szCs w:val="26"/>
        </w:rPr>
        <w:t>, хотя еще в сентябре 2014 г. цены в Японии были в два раза выше европейских.</w:t>
      </w:r>
      <w:proofErr w:type="gramEnd"/>
      <w:r w:rsidRPr="006630CA">
        <w:rPr>
          <w:rFonts w:ascii="Times New Roman" w:hAnsi="Times New Roman" w:cs="Times New Roman"/>
          <w:sz w:val="26"/>
          <w:szCs w:val="26"/>
        </w:rPr>
        <w:t xml:space="preserve"> </w:t>
      </w:r>
      <w:proofErr w:type="gramStart"/>
      <w:r w:rsidRPr="006630CA">
        <w:rPr>
          <w:rFonts w:ascii="Times New Roman" w:hAnsi="Times New Roman" w:cs="Times New Roman"/>
          <w:sz w:val="26"/>
          <w:szCs w:val="26"/>
        </w:rPr>
        <w:t>Вряд ли эта тенденция будет устойчивой, но общий вектор на отказ от традиционной «</w:t>
      </w:r>
      <w:proofErr w:type="spellStart"/>
      <w:r w:rsidRPr="006630CA">
        <w:rPr>
          <w:rFonts w:ascii="Times New Roman" w:hAnsi="Times New Roman" w:cs="Times New Roman"/>
          <w:sz w:val="26"/>
          <w:szCs w:val="26"/>
        </w:rPr>
        <w:t>премиальности</w:t>
      </w:r>
      <w:proofErr w:type="spellEnd"/>
      <w:r w:rsidRPr="006630CA">
        <w:rPr>
          <w:rFonts w:ascii="Times New Roman" w:hAnsi="Times New Roman" w:cs="Times New Roman"/>
          <w:sz w:val="26"/>
          <w:szCs w:val="26"/>
        </w:rPr>
        <w:t>» рынка Северо-Восточной Азии создает значительные риски для всех новых проектов производства СПГ, экономическое обоснование которых исходило из сохранения межрегиональных ценовых дифференциалов в долгосрочной перспективе.</w:t>
      </w:r>
      <w:proofErr w:type="gramEnd"/>
      <w:r w:rsidRPr="006630CA">
        <w:rPr>
          <w:rFonts w:ascii="Times New Roman" w:hAnsi="Times New Roman" w:cs="Times New Roman"/>
          <w:sz w:val="26"/>
          <w:szCs w:val="26"/>
        </w:rPr>
        <w:t xml:space="preserve"> Также это приведет к росту привлекательности европейского рынка СПГ.</w:t>
      </w:r>
    </w:p>
    <w:p w:rsidR="00A44E5D" w:rsidRPr="006630CA" w:rsidRDefault="00A44E5D" w:rsidP="006630CA">
      <w:pPr>
        <w:pStyle w:val="a5"/>
        <w:numPr>
          <w:ilvl w:val="0"/>
          <w:numId w:val="12"/>
        </w:numPr>
        <w:jc w:val="both"/>
        <w:rPr>
          <w:rFonts w:ascii="Times New Roman" w:hAnsi="Times New Roman" w:cs="Times New Roman"/>
          <w:sz w:val="26"/>
          <w:szCs w:val="26"/>
        </w:rPr>
      </w:pPr>
      <w:r w:rsidRPr="006630CA">
        <w:rPr>
          <w:rFonts w:ascii="Times New Roman" w:hAnsi="Times New Roman" w:cs="Times New Roman"/>
          <w:sz w:val="26"/>
          <w:szCs w:val="26"/>
        </w:rPr>
        <w:lastRenderedPageBreak/>
        <w:t xml:space="preserve">либерализация ценообразования на газовом рынке КНР с перспективой создания в стране одного или нескольких относительно ликвидных газовых </w:t>
      </w:r>
      <w:proofErr w:type="spellStart"/>
      <w:r w:rsidRPr="006630CA">
        <w:rPr>
          <w:rFonts w:ascii="Times New Roman" w:hAnsi="Times New Roman" w:cs="Times New Roman"/>
          <w:sz w:val="26"/>
          <w:szCs w:val="26"/>
        </w:rPr>
        <w:t>хабов</w:t>
      </w:r>
      <w:proofErr w:type="spellEnd"/>
      <w:r w:rsidRPr="006630CA">
        <w:rPr>
          <w:rFonts w:ascii="Times New Roman" w:hAnsi="Times New Roman" w:cs="Times New Roman"/>
          <w:sz w:val="26"/>
          <w:szCs w:val="26"/>
        </w:rPr>
        <w:t xml:space="preserve">. </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Основная эволюция механизма ценообразования на рынке газа, также как и на рынке нефти, в последнее десятилетие заключалась в развитии производных финансовых инструментов как элемента биржевой торговли. Поскольку основной функцией фьючерсных рынков является определение будущей цены на поставки товара, их роль в формировании </w:t>
      </w:r>
      <w:proofErr w:type="spellStart"/>
      <w:r w:rsidRPr="001B5624">
        <w:rPr>
          <w:rFonts w:ascii="Times New Roman" w:hAnsi="Times New Roman" w:cs="Times New Roman"/>
          <w:sz w:val="26"/>
          <w:szCs w:val="26"/>
        </w:rPr>
        <w:t>спотовой</w:t>
      </w:r>
      <w:proofErr w:type="spellEnd"/>
      <w:r w:rsidRPr="001B5624">
        <w:rPr>
          <w:rFonts w:ascii="Times New Roman" w:hAnsi="Times New Roman" w:cs="Times New Roman"/>
          <w:sz w:val="26"/>
          <w:szCs w:val="26"/>
        </w:rPr>
        <w:t xml:space="preserve"> цены приобрела доминирующий характер. </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Биржевая торговля природным газом является доминирующей формой на высокоразвитых рынках, к которым можно отнести рынки природного газа США и Великобритании. Формирование цен на газ на </w:t>
      </w:r>
      <w:proofErr w:type="spellStart"/>
      <w:r w:rsidRPr="001B5624">
        <w:rPr>
          <w:rFonts w:ascii="Times New Roman" w:hAnsi="Times New Roman" w:cs="Times New Roman"/>
          <w:sz w:val="26"/>
          <w:szCs w:val="26"/>
        </w:rPr>
        <w:t>спотовых</w:t>
      </w:r>
      <w:proofErr w:type="spellEnd"/>
      <w:r w:rsidRPr="001B5624">
        <w:rPr>
          <w:rFonts w:ascii="Times New Roman" w:hAnsi="Times New Roman" w:cs="Times New Roman"/>
          <w:sz w:val="26"/>
          <w:szCs w:val="26"/>
        </w:rPr>
        <w:t xml:space="preserve"> рынках под воздействием конкуренции газ-газ не означает, что цены на конкурирующие виды топлива не оказывают влияние на газовые цены. Основные группы потребителей зачастую имеют возможность переключаться в ответ на ценовые сигналы между газом и углем (как в ЕС в последние годы) или мазутом: газовые рынки имеют сложную систему организации, поскольку показатели эластичности варьируются по сегментам рынка и вследствие конкуренции с различными видами товаров-субститутов. </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Формула ценообразования на газ, учитывающая изменение альтернативных видов топлива, в частности нефти, широко используется на рынках газа в континентальной Европе и Азии. В формулу цены газа так же могут включаться несколько конкурирующих видов топлива. Таким образом, изменение цен на них приводит к коррекции цены на газ, при этом данные изменения отражаются на цене газа </w:t>
      </w:r>
      <w:proofErr w:type="gramStart"/>
      <w:r w:rsidRPr="001B5624">
        <w:rPr>
          <w:rFonts w:ascii="Times New Roman" w:hAnsi="Times New Roman" w:cs="Times New Roman"/>
          <w:sz w:val="26"/>
          <w:szCs w:val="26"/>
        </w:rPr>
        <w:t>в</w:t>
      </w:r>
      <w:proofErr w:type="gramEnd"/>
      <w:r w:rsidRPr="001B5624">
        <w:rPr>
          <w:rFonts w:ascii="Times New Roman" w:hAnsi="Times New Roman" w:cs="Times New Roman"/>
          <w:sz w:val="26"/>
          <w:szCs w:val="26"/>
        </w:rPr>
        <w:t xml:space="preserve"> временным лагом от 6 до 9 месяцев. Необходимо учитывать, что большинство </w:t>
      </w:r>
      <w:proofErr w:type="gramStart"/>
      <w:r w:rsidRPr="001B5624">
        <w:rPr>
          <w:rFonts w:ascii="Times New Roman" w:hAnsi="Times New Roman" w:cs="Times New Roman"/>
          <w:sz w:val="26"/>
          <w:szCs w:val="26"/>
        </w:rPr>
        <w:t>контрактов, содержащих в себе формулу ценообразования с привязкой к цене на альтернативные виды топлива содержат</w:t>
      </w:r>
      <w:proofErr w:type="gramEnd"/>
      <w:r w:rsidRPr="001B5624">
        <w:rPr>
          <w:rFonts w:ascii="Times New Roman" w:hAnsi="Times New Roman" w:cs="Times New Roman"/>
          <w:sz w:val="26"/>
          <w:szCs w:val="26"/>
        </w:rPr>
        <w:t xml:space="preserve"> в себе условия «бери или плати», что ограничивает покупателей газа в возможности перехода от данной модели ценообразования в сторону других механизмов.</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Поскольку механизмы ценообразования на газ носят выраженный региональный характер и зависят от степени развитости рынка и характерной для него конъюнктуры, набор </w:t>
      </w:r>
      <w:proofErr w:type="gramStart"/>
      <w:r w:rsidRPr="001B5624">
        <w:rPr>
          <w:rFonts w:ascii="Times New Roman" w:hAnsi="Times New Roman" w:cs="Times New Roman"/>
          <w:sz w:val="26"/>
          <w:szCs w:val="26"/>
        </w:rPr>
        <w:t>факторов, оказывающих воздействие на цену газа существенно различается</w:t>
      </w:r>
      <w:proofErr w:type="gramEnd"/>
      <w:r w:rsidRPr="001B5624">
        <w:rPr>
          <w:rFonts w:ascii="Times New Roman" w:hAnsi="Times New Roman" w:cs="Times New Roman"/>
          <w:sz w:val="26"/>
          <w:szCs w:val="26"/>
        </w:rPr>
        <w:t xml:space="preserve"> в зависимости от региона мира, что отражается в значительном отличии как уровня, так и волатильности цен. </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На рынках газа с использованием механизма «ручного» регулирования цены, а так же механизмов ценообразования по формуле «издержки плюс» ключевыми факторами являются операционные издержки на добычу природного газа, налоговая политика страны по отношению к добывающим отраслям, а так же устанавливаемый уровень нормы рентабельности производителя. Как правило, статистические данные по данным рынкам является закрытыми, что ограничивает возможность их анализа и прогноза. </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На рынках, формирование цены на газ на которых происходит исходя из цен на конкурентные виды топлива, т.е. с использованием формулы привязки к цене на нефть (уголь, электроэнергию), определяющим фактором их динамики будет являться цена на эти товары субституты.</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lastRenderedPageBreak/>
        <w:t>Два самых ликвидных рынка газа – США и Великобритании, длительное время находившихся в синхронном состоянии по уровню цены, начиная с 2010 г. потеряли взаимосвязь. Причиной этого стала зарождающаяся тенденция регионализации газового рынка США, вызванная ростом собственной добычи нетрадиционного газа. Таким образом, был прерван зарождавшийся тренд глобализации цены газа.</w:t>
      </w:r>
    </w:p>
    <w:p w:rsidR="00A44E5D" w:rsidRPr="00922DFA" w:rsidRDefault="00A44E5D" w:rsidP="00922DF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Основным направлением развития международных рынков газа станет переход к более устойчивой системе межрегионального ценового арбитража, в которой заметно повысится зависимость одних регионов от других, при этом, помимо трех существующих центров ценообразования (Северная Америка, Европа, Северо-Восточная Азия) появятся еще несколько (Индия, Южная Америка, Ближний Восток и, менее вероятно, другие). </w:t>
      </w:r>
      <w:proofErr w:type="gramStart"/>
      <w:r w:rsidRPr="001B5624">
        <w:rPr>
          <w:rFonts w:ascii="Times New Roman" w:hAnsi="Times New Roman" w:cs="Times New Roman"/>
          <w:sz w:val="26"/>
          <w:szCs w:val="26"/>
        </w:rPr>
        <w:t xml:space="preserve">Увеличение числа точек ценообразования на фоне увеличения абсолютных и долевых объемов торговли СПГ уже к 2020 г. потребует создания устойчивых механизмов передачи ценовых сигналов между региональными рынками газа, на что будет накладываться кризис </w:t>
      </w:r>
      <w:proofErr w:type="spellStart"/>
      <w:r w:rsidRPr="001B5624">
        <w:rPr>
          <w:rFonts w:ascii="Times New Roman" w:hAnsi="Times New Roman" w:cs="Times New Roman"/>
          <w:sz w:val="26"/>
          <w:szCs w:val="26"/>
        </w:rPr>
        <w:t>ценообразовательной</w:t>
      </w:r>
      <w:proofErr w:type="spellEnd"/>
      <w:r w:rsidRPr="001B5624">
        <w:rPr>
          <w:rFonts w:ascii="Times New Roman" w:hAnsi="Times New Roman" w:cs="Times New Roman"/>
          <w:sz w:val="26"/>
          <w:szCs w:val="26"/>
        </w:rPr>
        <w:t xml:space="preserve"> модели с привязкой к динамике нефтяного рынка и расширение биржевой торговли, особенно в Северо-Восточной Азии и Европе.</w:t>
      </w:r>
      <w:bookmarkStart w:id="207" w:name="_Toc430150458"/>
      <w:proofErr w:type="gramEnd"/>
    </w:p>
    <w:p w:rsidR="00A44E5D" w:rsidRPr="000F4260" w:rsidRDefault="00A44E5D" w:rsidP="000F4260">
      <w:pPr>
        <w:pStyle w:val="1"/>
        <w:jc w:val="both"/>
        <w:rPr>
          <w:rFonts w:ascii="Times New Roman" w:hAnsi="Times New Roman" w:cs="Times New Roman"/>
          <w:color w:val="1F497D" w:themeColor="text2"/>
        </w:rPr>
      </w:pPr>
      <w:bookmarkStart w:id="208" w:name="_Toc431474329"/>
      <w:r w:rsidRPr="006630CA">
        <w:rPr>
          <w:rFonts w:ascii="Times New Roman" w:hAnsi="Times New Roman" w:cs="Times New Roman"/>
          <w:color w:val="1F497D" w:themeColor="text2"/>
        </w:rPr>
        <w:t>Проблемы прогнозирования мировых цен на нефть на международных рынках</w:t>
      </w:r>
      <w:bookmarkEnd w:id="207"/>
      <w:bookmarkEnd w:id="208"/>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В отличие от относительно инерционных величин – потребления и добычи нефти и газа, цены отличаются высокой волатильностью и зависимостью от множества внешних по отношению к нефтегазовому комплексу факторам. Это обуславливает объективную сложность их прогнозирования. </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Всю совокупность прогнозных методов, которые могут быть в том или ином виде использованы при прогнозировании цен, можно разделить на три группы на основе используемой информации: фактографические, экспертные и комбинированные.</w:t>
      </w:r>
      <w:r w:rsidR="006630CA">
        <w:rPr>
          <w:rFonts w:ascii="Times New Roman" w:hAnsi="Times New Roman" w:cs="Times New Roman"/>
          <w:i/>
          <w:iCs/>
          <w:sz w:val="26"/>
          <w:szCs w:val="26"/>
        </w:rPr>
        <w:t xml:space="preserve"> Фактографи</w:t>
      </w:r>
      <w:r w:rsidRPr="001B5624">
        <w:rPr>
          <w:rFonts w:ascii="Times New Roman" w:hAnsi="Times New Roman" w:cs="Times New Roman"/>
          <w:i/>
          <w:iCs/>
          <w:sz w:val="26"/>
          <w:szCs w:val="26"/>
        </w:rPr>
        <w:t>ческие методы</w:t>
      </w:r>
      <w:r w:rsidRPr="001B5624">
        <w:rPr>
          <w:rFonts w:ascii="Times New Roman" w:hAnsi="Times New Roman" w:cs="Times New Roman"/>
          <w:sz w:val="26"/>
          <w:szCs w:val="26"/>
        </w:rPr>
        <w:t xml:space="preserve"> базируются на первичной информации об объекте. </w:t>
      </w:r>
      <w:r w:rsidRPr="001B5624">
        <w:rPr>
          <w:rFonts w:ascii="Times New Roman" w:hAnsi="Times New Roman" w:cs="Times New Roman"/>
          <w:i/>
          <w:iCs/>
          <w:sz w:val="26"/>
          <w:szCs w:val="26"/>
        </w:rPr>
        <w:t>Экспертные методы</w:t>
      </w:r>
      <w:r w:rsidRPr="001B5624">
        <w:rPr>
          <w:rFonts w:ascii="Times New Roman" w:hAnsi="Times New Roman" w:cs="Times New Roman"/>
          <w:sz w:val="26"/>
          <w:szCs w:val="26"/>
        </w:rPr>
        <w:t xml:space="preserve"> используют информацию, получаемую от специалистов-экспертов; те, в свою очередь, предварительно обобщают фактографическую или иную информацию.</w:t>
      </w:r>
      <w:r w:rsidR="006630CA">
        <w:rPr>
          <w:rFonts w:ascii="Times New Roman" w:hAnsi="Times New Roman" w:cs="Times New Roman"/>
          <w:i/>
          <w:iCs/>
          <w:sz w:val="26"/>
          <w:szCs w:val="26"/>
        </w:rPr>
        <w:t xml:space="preserve"> Комбинированные мето</w:t>
      </w:r>
      <w:r w:rsidRPr="001B5624">
        <w:rPr>
          <w:rFonts w:ascii="Times New Roman" w:hAnsi="Times New Roman" w:cs="Times New Roman"/>
          <w:i/>
          <w:iCs/>
          <w:sz w:val="26"/>
          <w:szCs w:val="26"/>
        </w:rPr>
        <w:t>ды</w:t>
      </w:r>
      <w:r w:rsidRPr="001B5624">
        <w:rPr>
          <w:rFonts w:ascii="Times New Roman" w:hAnsi="Times New Roman" w:cs="Times New Roman"/>
          <w:sz w:val="26"/>
          <w:szCs w:val="26"/>
        </w:rPr>
        <w:t xml:space="preserve"> используют смешанные информационные массивы, т.е. и факто</w:t>
      </w:r>
      <w:r w:rsidRPr="001B5624">
        <w:rPr>
          <w:rFonts w:ascii="Times New Roman" w:hAnsi="Times New Roman" w:cs="Times New Roman"/>
          <w:sz w:val="26"/>
          <w:szCs w:val="26"/>
        </w:rPr>
        <w:softHyphen/>
        <w:t>графическую информацию и экспертную (рис. 1).</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В левой подгруппе</w:t>
      </w:r>
      <w:r w:rsidRPr="001B5624">
        <w:rPr>
          <w:rFonts w:ascii="Times New Roman" w:hAnsi="Times New Roman" w:cs="Times New Roman"/>
          <w:b/>
          <w:bCs/>
          <w:i/>
          <w:iCs/>
          <w:sz w:val="26"/>
          <w:szCs w:val="26"/>
        </w:rPr>
        <w:t xml:space="preserve"> </w:t>
      </w:r>
      <w:r w:rsidRPr="001B5624">
        <w:rPr>
          <w:rFonts w:ascii="Times New Roman" w:hAnsi="Times New Roman" w:cs="Times New Roman"/>
          <w:bCs/>
          <w:i/>
          <w:iCs/>
          <w:sz w:val="26"/>
          <w:szCs w:val="26"/>
        </w:rPr>
        <w:t>фактографических методов</w:t>
      </w:r>
      <w:r w:rsidRPr="001B5624">
        <w:rPr>
          <w:rFonts w:ascii="Times New Roman" w:hAnsi="Times New Roman" w:cs="Times New Roman"/>
          <w:sz w:val="26"/>
          <w:szCs w:val="26"/>
        </w:rPr>
        <w:t xml:space="preserve"> (на рис. 1 это</w:t>
      </w:r>
      <w:r w:rsidRPr="001B5624">
        <w:rPr>
          <w:rFonts w:ascii="Times New Roman" w:hAnsi="Times New Roman" w:cs="Times New Roman"/>
          <w:i/>
          <w:iCs/>
          <w:sz w:val="26"/>
          <w:szCs w:val="26"/>
        </w:rPr>
        <w:t xml:space="preserve"> </w:t>
      </w:r>
      <w:r w:rsidRPr="001B5624">
        <w:rPr>
          <w:rFonts w:ascii="Times New Roman" w:hAnsi="Times New Roman" w:cs="Times New Roman"/>
          <w:iCs/>
          <w:sz w:val="26"/>
          <w:szCs w:val="26"/>
        </w:rPr>
        <w:t>эконометрические методы)</w:t>
      </w:r>
      <w:r w:rsidRPr="001B5624">
        <w:rPr>
          <w:rFonts w:ascii="Times New Roman" w:hAnsi="Times New Roman" w:cs="Times New Roman"/>
          <w:sz w:val="26"/>
          <w:szCs w:val="26"/>
        </w:rPr>
        <w:t xml:space="preserve"> перечислены наиболее употребительные при прогнозировании цен эконометрические подходы.</w:t>
      </w:r>
      <w:r w:rsidRPr="001B5624">
        <w:rPr>
          <w:rFonts w:ascii="Times New Roman" w:hAnsi="Times New Roman" w:cs="Times New Roman"/>
          <w:i/>
          <w:iCs/>
          <w:sz w:val="26"/>
          <w:szCs w:val="26"/>
        </w:rPr>
        <w:t xml:space="preserve"> </w:t>
      </w:r>
      <w:r w:rsidRPr="001B5624">
        <w:rPr>
          <w:rFonts w:ascii="Times New Roman" w:hAnsi="Times New Roman" w:cs="Times New Roman"/>
          <w:sz w:val="26"/>
          <w:szCs w:val="26"/>
        </w:rPr>
        <w:t xml:space="preserve">Эконометрические методы широко используются в большинстве прогнозных исследованиях по мировому нефтегазовому комплексу: </w:t>
      </w:r>
      <w:r w:rsidRPr="001B5624">
        <w:rPr>
          <w:rFonts w:ascii="Times New Roman" w:hAnsi="Times New Roman" w:cs="Times New Roman"/>
          <w:sz w:val="26"/>
          <w:szCs w:val="26"/>
          <w:lang w:val="en-US"/>
        </w:rPr>
        <w:t>EIA</w:t>
      </w:r>
      <w:r w:rsidRPr="001B5624">
        <w:rPr>
          <w:rFonts w:ascii="Times New Roman" w:hAnsi="Times New Roman" w:cs="Times New Roman"/>
          <w:sz w:val="26"/>
          <w:szCs w:val="26"/>
        </w:rPr>
        <w:t xml:space="preserve">, </w:t>
      </w:r>
      <w:r w:rsidRPr="001B5624">
        <w:rPr>
          <w:rFonts w:ascii="Times New Roman" w:hAnsi="Times New Roman" w:cs="Times New Roman"/>
          <w:sz w:val="26"/>
          <w:szCs w:val="26"/>
          <w:lang w:val="en-US"/>
        </w:rPr>
        <w:t>ExxonMobil</w:t>
      </w:r>
      <w:r w:rsidRPr="001B5624">
        <w:rPr>
          <w:rFonts w:ascii="Times New Roman" w:hAnsi="Times New Roman" w:cs="Times New Roman"/>
          <w:sz w:val="26"/>
          <w:szCs w:val="26"/>
        </w:rPr>
        <w:t xml:space="preserve">, </w:t>
      </w:r>
      <w:r w:rsidRPr="001B5624">
        <w:rPr>
          <w:rFonts w:ascii="Times New Roman" w:hAnsi="Times New Roman" w:cs="Times New Roman"/>
          <w:sz w:val="26"/>
          <w:szCs w:val="26"/>
          <w:lang w:val="en-US"/>
        </w:rPr>
        <w:t>BP</w:t>
      </w:r>
      <w:r w:rsidRPr="001B5624">
        <w:rPr>
          <w:rFonts w:ascii="Times New Roman" w:hAnsi="Times New Roman" w:cs="Times New Roman"/>
          <w:sz w:val="26"/>
          <w:szCs w:val="26"/>
        </w:rPr>
        <w:t>, ИНЭИ, в меньшей степени – МЭА, Гринпис, ОПЕК.</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В пользу использования количественного подхода к прогнозированию цен, который реализуется на основе эконометрических методов, можно привести следующие аргументы: 1) эконометрические методы прогнозирования входят в большинство известных статистических пакетов прикладных программ; 2) представленные методы основываются на реальной статистической информации </w:t>
      </w:r>
      <w:proofErr w:type="gramStart"/>
      <w:r w:rsidRPr="001B5624">
        <w:rPr>
          <w:rFonts w:ascii="Times New Roman" w:hAnsi="Times New Roman" w:cs="Times New Roman"/>
          <w:sz w:val="26"/>
          <w:szCs w:val="26"/>
        </w:rPr>
        <w:t>и</w:t>
      </w:r>
      <w:proofErr w:type="gramEnd"/>
      <w:r w:rsidRPr="001B5624">
        <w:rPr>
          <w:rFonts w:ascii="Times New Roman" w:hAnsi="Times New Roman" w:cs="Times New Roman"/>
          <w:sz w:val="26"/>
          <w:szCs w:val="26"/>
        </w:rPr>
        <w:t xml:space="preserve"> поэтому в отличие от экспертных методов объективны; 3) современ</w:t>
      </w:r>
      <w:r w:rsidRPr="001B5624">
        <w:rPr>
          <w:rFonts w:ascii="Times New Roman" w:hAnsi="Times New Roman" w:cs="Times New Roman"/>
          <w:sz w:val="26"/>
          <w:szCs w:val="26"/>
        </w:rPr>
        <w:softHyphen/>
        <w:t xml:space="preserve">ные инструменты </w:t>
      </w:r>
      <w:r w:rsidRPr="001B5624">
        <w:rPr>
          <w:rFonts w:ascii="Times New Roman" w:hAnsi="Times New Roman" w:cs="Times New Roman"/>
          <w:sz w:val="26"/>
          <w:szCs w:val="26"/>
        </w:rPr>
        <w:lastRenderedPageBreak/>
        <w:t>эконометрических исследований позволяют ком</w:t>
      </w:r>
      <w:r w:rsidRPr="001B5624">
        <w:rPr>
          <w:rFonts w:ascii="Times New Roman" w:hAnsi="Times New Roman" w:cs="Times New Roman"/>
          <w:sz w:val="26"/>
          <w:szCs w:val="26"/>
        </w:rPr>
        <w:softHyphen/>
        <w:t>бинировать и синтезировать эконометрические и экспертные методы.</w:t>
      </w:r>
    </w:p>
    <w:p w:rsidR="00A44E5D" w:rsidRPr="00411A89" w:rsidRDefault="00A44E5D" w:rsidP="00A44E5D">
      <w:pPr>
        <w:spacing w:after="120"/>
        <w:ind w:firstLine="709"/>
        <w:jc w:val="both"/>
        <w:rPr>
          <w:rFonts w:ascii="Times New Roman" w:hAnsi="Times New Roman" w:cs="Times New Roman"/>
          <w:sz w:val="24"/>
          <w:szCs w:val="24"/>
        </w:rPr>
      </w:pPr>
      <w:r w:rsidRPr="00411A89">
        <w:rPr>
          <w:rFonts w:ascii="Times New Roman" w:hAnsi="Times New Roman" w:cs="Times New Roman"/>
          <w:noProof/>
          <w:sz w:val="24"/>
          <w:szCs w:val="24"/>
          <w:lang w:eastAsia="ru-RU"/>
        </w:rPr>
        <w:drawing>
          <wp:inline distT="0" distB="0" distL="0" distR="0" wp14:anchorId="2A8080C0" wp14:editId="1ED81481">
            <wp:extent cx="5940425" cy="3619930"/>
            <wp:effectExtent l="0" t="0" r="3175" b="0"/>
            <wp:docPr id="42" name="Рисунок 42" descr="C:\Users\user\Pictures\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Рисунок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0425" cy="3619930"/>
                    </a:xfrm>
                    <a:prstGeom prst="rect">
                      <a:avLst/>
                    </a:prstGeom>
                    <a:noFill/>
                    <a:ln>
                      <a:noFill/>
                    </a:ln>
                  </pic:spPr>
                </pic:pic>
              </a:graphicData>
            </a:graphic>
          </wp:inline>
        </w:drawing>
      </w:r>
    </w:p>
    <w:p w:rsidR="00A44E5D" w:rsidRDefault="00A44E5D" w:rsidP="006630CA">
      <w:pPr>
        <w:spacing w:after="120" w:line="240" w:lineRule="auto"/>
        <w:ind w:firstLine="709"/>
        <w:jc w:val="both"/>
        <w:rPr>
          <w:rFonts w:ascii="Times New Roman" w:hAnsi="Times New Roman" w:cs="Times New Roman"/>
          <w:sz w:val="24"/>
          <w:szCs w:val="24"/>
        </w:rPr>
      </w:pPr>
    </w:p>
    <w:p w:rsidR="00A44E5D" w:rsidRPr="001B5624" w:rsidRDefault="00A44E5D" w:rsidP="006630CA">
      <w:pPr>
        <w:spacing w:after="120"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При прогнозировании применяются три основных класса эконометрических моделей:</w:t>
      </w:r>
    </w:p>
    <w:p w:rsidR="00A44E5D" w:rsidRPr="001B5624" w:rsidRDefault="00A44E5D" w:rsidP="006630CA">
      <w:pPr>
        <w:spacing w:after="120"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1) модели временных рядов, предназначенные для прогнозирова</w:t>
      </w:r>
      <w:r w:rsidRPr="001B5624">
        <w:rPr>
          <w:rFonts w:ascii="Times New Roman" w:hAnsi="Times New Roman" w:cs="Times New Roman"/>
          <w:sz w:val="26"/>
          <w:szCs w:val="26"/>
        </w:rPr>
        <w:softHyphen/>
        <w:t>ния экономической динамики;</w:t>
      </w:r>
    </w:p>
    <w:p w:rsidR="00A44E5D" w:rsidRPr="001B5624" w:rsidRDefault="00A44E5D" w:rsidP="006630CA">
      <w:pPr>
        <w:spacing w:after="120"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2) регрессионные модели с одним уравнением (в них зависимая пе</w:t>
      </w:r>
      <w:r w:rsidRPr="001B5624">
        <w:rPr>
          <w:rFonts w:ascii="Times New Roman" w:hAnsi="Times New Roman" w:cs="Times New Roman"/>
          <w:sz w:val="26"/>
          <w:szCs w:val="26"/>
        </w:rPr>
        <w:softHyphen/>
        <w:t>ременная у представляется в виде функции у =</w:t>
      </w:r>
      <w:r w:rsidRPr="001B5624">
        <w:rPr>
          <w:rFonts w:ascii="Times New Roman" w:hAnsi="Times New Roman" w:cs="Times New Roman"/>
          <w:i/>
          <w:sz w:val="26"/>
          <w:szCs w:val="26"/>
        </w:rPr>
        <w:t>f</w:t>
      </w:r>
      <w:r w:rsidRPr="001B5624">
        <w:rPr>
          <w:rFonts w:ascii="Times New Roman" w:hAnsi="Times New Roman" w:cs="Times New Roman"/>
          <w:sz w:val="26"/>
          <w:szCs w:val="26"/>
        </w:rPr>
        <w:t xml:space="preserve"> (х</w:t>
      </w:r>
      <w:proofErr w:type="gramStart"/>
      <w:r w:rsidRPr="001B5624">
        <w:rPr>
          <w:rFonts w:ascii="Times New Roman" w:hAnsi="Times New Roman" w:cs="Times New Roman"/>
          <w:sz w:val="26"/>
          <w:szCs w:val="26"/>
          <w:vertAlign w:val="subscript"/>
        </w:rPr>
        <w:t>1</w:t>
      </w:r>
      <w:proofErr w:type="gramEnd"/>
      <w:r w:rsidRPr="001B5624">
        <w:rPr>
          <w:rFonts w:ascii="Times New Roman" w:hAnsi="Times New Roman" w:cs="Times New Roman"/>
          <w:sz w:val="26"/>
          <w:szCs w:val="26"/>
        </w:rPr>
        <w:t>…</w:t>
      </w:r>
      <w:proofErr w:type="spellStart"/>
      <w:r w:rsidRPr="001B5624">
        <w:rPr>
          <w:rFonts w:ascii="Times New Roman" w:hAnsi="Times New Roman" w:cs="Times New Roman"/>
          <w:sz w:val="26"/>
          <w:szCs w:val="26"/>
        </w:rPr>
        <w:t>х</w:t>
      </w:r>
      <w:r w:rsidRPr="001B5624">
        <w:rPr>
          <w:rFonts w:ascii="Times New Roman" w:hAnsi="Times New Roman" w:cs="Times New Roman"/>
          <w:sz w:val="26"/>
          <w:szCs w:val="26"/>
          <w:vertAlign w:val="subscript"/>
        </w:rPr>
        <w:t>n</w:t>
      </w:r>
      <w:proofErr w:type="spellEnd"/>
      <w:r w:rsidRPr="001B5624">
        <w:rPr>
          <w:rFonts w:ascii="Times New Roman" w:hAnsi="Times New Roman" w:cs="Times New Roman"/>
          <w:sz w:val="26"/>
          <w:szCs w:val="26"/>
        </w:rPr>
        <w:t>), где (х</w:t>
      </w:r>
      <w:r w:rsidRPr="001B5624">
        <w:rPr>
          <w:rFonts w:ascii="Times New Roman" w:hAnsi="Times New Roman" w:cs="Times New Roman"/>
          <w:sz w:val="26"/>
          <w:szCs w:val="26"/>
          <w:vertAlign w:val="subscript"/>
        </w:rPr>
        <w:t>1</w:t>
      </w:r>
      <w:r w:rsidRPr="001B5624">
        <w:rPr>
          <w:rFonts w:ascii="Times New Roman" w:hAnsi="Times New Roman" w:cs="Times New Roman"/>
          <w:sz w:val="26"/>
          <w:szCs w:val="26"/>
        </w:rPr>
        <w:t>…</w:t>
      </w:r>
      <w:proofErr w:type="spellStart"/>
      <w:r w:rsidRPr="001B5624">
        <w:rPr>
          <w:rFonts w:ascii="Times New Roman" w:hAnsi="Times New Roman" w:cs="Times New Roman"/>
          <w:sz w:val="26"/>
          <w:szCs w:val="26"/>
        </w:rPr>
        <w:t>х</w:t>
      </w:r>
      <w:r w:rsidRPr="001B5624">
        <w:rPr>
          <w:rFonts w:ascii="Times New Roman" w:hAnsi="Times New Roman" w:cs="Times New Roman"/>
          <w:sz w:val="26"/>
          <w:szCs w:val="26"/>
          <w:vertAlign w:val="subscript"/>
        </w:rPr>
        <w:t>n</w:t>
      </w:r>
      <w:proofErr w:type="spellEnd"/>
      <w:r w:rsidRPr="001B5624">
        <w:rPr>
          <w:rFonts w:ascii="Times New Roman" w:hAnsi="Times New Roman" w:cs="Times New Roman"/>
          <w:sz w:val="26"/>
          <w:szCs w:val="26"/>
        </w:rPr>
        <w:t xml:space="preserve">) — независимые (объясняющие) переменные). Модели делятся </w:t>
      </w:r>
      <w:proofErr w:type="gramStart"/>
      <w:r w:rsidRPr="001B5624">
        <w:rPr>
          <w:rFonts w:ascii="Times New Roman" w:hAnsi="Times New Roman" w:cs="Times New Roman"/>
          <w:sz w:val="26"/>
          <w:szCs w:val="26"/>
        </w:rPr>
        <w:t>на</w:t>
      </w:r>
      <w:proofErr w:type="gramEnd"/>
      <w:r w:rsidRPr="001B5624">
        <w:rPr>
          <w:rFonts w:ascii="Times New Roman" w:hAnsi="Times New Roman" w:cs="Times New Roman"/>
          <w:sz w:val="26"/>
          <w:szCs w:val="26"/>
        </w:rPr>
        <w:t xml:space="preserve"> линейные и нелинейные;</w:t>
      </w:r>
    </w:p>
    <w:p w:rsidR="00A44E5D" w:rsidRPr="001B5624" w:rsidRDefault="00A44E5D" w:rsidP="006630CA">
      <w:pPr>
        <w:spacing w:after="120"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3) системы эконометрических уравнений (описываются систе</w:t>
      </w:r>
      <w:r w:rsidRPr="001B5624">
        <w:rPr>
          <w:rFonts w:ascii="Times New Roman" w:hAnsi="Times New Roman" w:cs="Times New Roman"/>
          <w:sz w:val="26"/>
          <w:szCs w:val="26"/>
        </w:rPr>
        <w:softHyphen/>
        <w:t>мами одновременных уравнений, состоящих из тождеств и регрессионных уравнений, каждое из которых может, кроме объясняющих переменных, включать также объясняемые пе</w:t>
      </w:r>
      <w:r w:rsidRPr="001B5624">
        <w:rPr>
          <w:rFonts w:ascii="Times New Roman" w:hAnsi="Times New Roman" w:cs="Times New Roman"/>
          <w:sz w:val="26"/>
          <w:szCs w:val="26"/>
        </w:rPr>
        <w:softHyphen/>
        <w:t>ременные из других уравнений системы).</w:t>
      </w:r>
    </w:p>
    <w:p w:rsidR="00A44E5D" w:rsidRPr="001B5624" w:rsidRDefault="00A44E5D" w:rsidP="006630CA">
      <w:pPr>
        <w:spacing w:after="120" w:line="240" w:lineRule="auto"/>
        <w:ind w:firstLine="709"/>
        <w:jc w:val="both"/>
        <w:rPr>
          <w:rFonts w:ascii="Times New Roman" w:hAnsi="Times New Roman" w:cs="Times New Roman"/>
          <w:sz w:val="26"/>
          <w:szCs w:val="26"/>
        </w:rPr>
      </w:pPr>
      <w:r w:rsidRPr="001B5624">
        <w:rPr>
          <w:rFonts w:ascii="Times New Roman" w:hAnsi="Times New Roman" w:cs="Times New Roman"/>
          <w:bCs/>
          <w:i/>
          <w:iCs/>
          <w:sz w:val="26"/>
          <w:szCs w:val="26"/>
        </w:rPr>
        <w:t>Экспертные (интуитивные) методы</w:t>
      </w:r>
      <w:r w:rsidRPr="001B5624">
        <w:rPr>
          <w:rFonts w:ascii="Times New Roman" w:hAnsi="Times New Roman" w:cs="Times New Roman"/>
          <w:sz w:val="26"/>
          <w:szCs w:val="26"/>
        </w:rPr>
        <w:t xml:space="preserve"> прогнозирования энергетики в большей или меньшей степени используются всеми ведущими энергетическими агентствами, но особенно часто </w:t>
      </w:r>
      <w:r w:rsidRPr="001B5624">
        <w:rPr>
          <w:rFonts w:ascii="Times New Roman" w:hAnsi="Times New Roman" w:cs="Times New Roman"/>
          <w:sz w:val="26"/>
          <w:szCs w:val="26"/>
          <w:lang w:val="en-US"/>
        </w:rPr>
        <w:t>Royal</w:t>
      </w:r>
      <w:r w:rsidRPr="001B5624">
        <w:rPr>
          <w:rFonts w:ascii="Times New Roman" w:hAnsi="Times New Roman" w:cs="Times New Roman"/>
          <w:sz w:val="26"/>
          <w:szCs w:val="26"/>
        </w:rPr>
        <w:t xml:space="preserve"> </w:t>
      </w:r>
      <w:r w:rsidRPr="001B5624">
        <w:rPr>
          <w:rFonts w:ascii="Times New Roman" w:hAnsi="Times New Roman" w:cs="Times New Roman"/>
          <w:sz w:val="26"/>
          <w:szCs w:val="26"/>
          <w:lang w:val="en-US"/>
        </w:rPr>
        <w:t>Dutch</w:t>
      </w:r>
      <w:r w:rsidRPr="001B5624">
        <w:rPr>
          <w:rFonts w:ascii="Times New Roman" w:hAnsi="Times New Roman" w:cs="Times New Roman"/>
          <w:sz w:val="26"/>
          <w:szCs w:val="26"/>
        </w:rPr>
        <w:t xml:space="preserve"> </w:t>
      </w:r>
      <w:r w:rsidRPr="001B5624">
        <w:rPr>
          <w:rFonts w:ascii="Times New Roman" w:hAnsi="Times New Roman" w:cs="Times New Roman"/>
          <w:sz w:val="26"/>
          <w:szCs w:val="26"/>
          <w:lang w:val="en-US"/>
        </w:rPr>
        <w:t>Shell</w:t>
      </w:r>
      <w:r w:rsidRPr="001B5624">
        <w:rPr>
          <w:rFonts w:ascii="Times New Roman" w:hAnsi="Times New Roman" w:cs="Times New Roman"/>
          <w:sz w:val="26"/>
          <w:szCs w:val="26"/>
        </w:rPr>
        <w:t xml:space="preserve"> и </w:t>
      </w:r>
      <w:r w:rsidRPr="001B5624">
        <w:rPr>
          <w:rFonts w:ascii="Times New Roman" w:hAnsi="Times New Roman" w:cs="Times New Roman"/>
          <w:sz w:val="26"/>
          <w:szCs w:val="26"/>
          <w:lang w:val="en-US"/>
        </w:rPr>
        <w:t>EIA</w:t>
      </w:r>
      <w:r w:rsidRPr="001B5624">
        <w:rPr>
          <w:rFonts w:ascii="Times New Roman" w:hAnsi="Times New Roman" w:cs="Times New Roman"/>
          <w:sz w:val="26"/>
          <w:szCs w:val="26"/>
        </w:rPr>
        <w:t>. Говоря о применении этих методов, в первую очередь имеются в виду прямые прогнозные оценки. В случае применения</w:t>
      </w:r>
      <w:r w:rsidRPr="001B5624">
        <w:rPr>
          <w:rFonts w:ascii="Times New Roman" w:hAnsi="Times New Roman" w:cs="Times New Roman"/>
          <w:i/>
          <w:iCs/>
          <w:sz w:val="26"/>
          <w:szCs w:val="26"/>
        </w:rPr>
        <w:t xml:space="preserve"> методов экспертных оценок</w:t>
      </w:r>
      <w:r w:rsidRPr="001B5624">
        <w:rPr>
          <w:rFonts w:ascii="Times New Roman" w:hAnsi="Times New Roman" w:cs="Times New Roman"/>
          <w:sz w:val="26"/>
          <w:szCs w:val="26"/>
        </w:rPr>
        <w:t xml:space="preserve"> для предвидения результатов развития энергетики преимущественно реа</w:t>
      </w:r>
      <w:r w:rsidRPr="001B5624">
        <w:rPr>
          <w:rFonts w:ascii="Times New Roman" w:hAnsi="Times New Roman" w:cs="Times New Roman"/>
          <w:sz w:val="26"/>
          <w:szCs w:val="26"/>
        </w:rPr>
        <w:softHyphen/>
        <w:t xml:space="preserve">лизуется </w:t>
      </w:r>
      <w:r w:rsidRPr="001B5624">
        <w:rPr>
          <w:rFonts w:ascii="Times New Roman" w:hAnsi="Times New Roman" w:cs="Times New Roman"/>
          <w:i/>
          <w:sz w:val="26"/>
          <w:szCs w:val="26"/>
        </w:rPr>
        <w:t>качественный подход</w:t>
      </w:r>
      <w:r w:rsidRPr="001B5624">
        <w:rPr>
          <w:rFonts w:ascii="Times New Roman" w:hAnsi="Times New Roman" w:cs="Times New Roman"/>
          <w:sz w:val="26"/>
          <w:szCs w:val="26"/>
        </w:rPr>
        <w:t xml:space="preserve"> к прогнозированию.</w:t>
      </w:r>
    </w:p>
    <w:p w:rsidR="00A44E5D" w:rsidRPr="001B5624" w:rsidRDefault="00A44E5D" w:rsidP="006630CA">
      <w:pPr>
        <w:spacing w:after="120"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При прогнозировании цен используются также многие из </w:t>
      </w:r>
      <w:r w:rsidRPr="001B5624">
        <w:rPr>
          <w:rFonts w:ascii="Times New Roman" w:hAnsi="Times New Roman" w:cs="Times New Roman"/>
          <w:i/>
          <w:sz w:val="26"/>
          <w:szCs w:val="26"/>
        </w:rPr>
        <w:t>комбинированных методов</w:t>
      </w:r>
      <w:r w:rsidRPr="001B5624">
        <w:rPr>
          <w:rFonts w:ascii="Times New Roman" w:hAnsi="Times New Roman" w:cs="Times New Roman"/>
          <w:sz w:val="26"/>
          <w:szCs w:val="26"/>
        </w:rPr>
        <w:t xml:space="preserve">, обозначенных на рисунке 1. Особенно широко применяются: сценарный метод (наиболее яркий пример – </w:t>
      </w:r>
      <w:r w:rsidRPr="001B5624">
        <w:rPr>
          <w:rFonts w:ascii="Times New Roman" w:hAnsi="Times New Roman" w:cs="Times New Roman"/>
          <w:sz w:val="26"/>
          <w:szCs w:val="26"/>
          <w:lang w:val="en-US"/>
        </w:rPr>
        <w:t>Shell</w:t>
      </w:r>
      <w:r w:rsidRPr="001B5624">
        <w:rPr>
          <w:rFonts w:ascii="Times New Roman" w:hAnsi="Times New Roman" w:cs="Times New Roman"/>
          <w:sz w:val="26"/>
          <w:szCs w:val="26"/>
        </w:rPr>
        <w:t xml:space="preserve">, элементы встречаются у МЭА), моделирование на основе нейронных сетей и имитационное моделирование (наиболее яркий пример </w:t>
      </w:r>
      <w:r w:rsidRPr="001B5624">
        <w:rPr>
          <w:rFonts w:ascii="Times New Roman" w:hAnsi="Times New Roman" w:cs="Times New Roman"/>
          <w:sz w:val="26"/>
          <w:szCs w:val="26"/>
        </w:rPr>
        <w:lastRenderedPageBreak/>
        <w:t xml:space="preserve">– </w:t>
      </w:r>
      <w:r w:rsidRPr="001B5624">
        <w:rPr>
          <w:rFonts w:ascii="Times New Roman" w:hAnsi="Times New Roman" w:cs="Times New Roman"/>
          <w:sz w:val="26"/>
          <w:szCs w:val="26"/>
          <w:lang w:val="en-US"/>
        </w:rPr>
        <w:t>EIA</w:t>
      </w:r>
      <w:r w:rsidRPr="001B5624">
        <w:rPr>
          <w:rFonts w:ascii="Times New Roman" w:hAnsi="Times New Roman" w:cs="Times New Roman"/>
          <w:sz w:val="26"/>
          <w:szCs w:val="26"/>
        </w:rPr>
        <w:t xml:space="preserve"> и ИЭС, немного меньше – ИНЭИ, элементы встречаются у МЭА, Гринпис, </w:t>
      </w:r>
      <w:r w:rsidRPr="001B5624">
        <w:rPr>
          <w:rFonts w:ascii="Times New Roman" w:hAnsi="Times New Roman" w:cs="Times New Roman"/>
          <w:sz w:val="26"/>
          <w:szCs w:val="26"/>
          <w:lang w:val="en-US"/>
        </w:rPr>
        <w:t>ExxonMobil</w:t>
      </w:r>
      <w:r w:rsidRPr="001B5624">
        <w:rPr>
          <w:rFonts w:ascii="Times New Roman" w:hAnsi="Times New Roman" w:cs="Times New Roman"/>
          <w:sz w:val="26"/>
          <w:szCs w:val="26"/>
        </w:rPr>
        <w:t xml:space="preserve">, </w:t>
      </w:r>
      <w:r w:rsidRPr="001B5624">
        <w:rPr>
          <w:rFonts w:ascii="Times New Roman" w:hAnsi="Times New Roman" w:cs="Times New Roman"/>
          <w:sz w:val="26"/>
          <w:szCs w:val="26"/>
          <w:lang w:val="en-US"/>
        </w:rPr>
        <w:t>BP</w:t>
      </w:r>
      <w:r w:rsidRPr="001B5624">
        <w:rPr>
          <w:rFonts w:ascii="Times New Roman" w:hAnsi="Times New Roman" w:cs="Times New Roman"/>
          <w:sz w:val="26"/>
          <w:szCs w:val="26"/>
        </w:rPr>
        <w:t xml:space="preserve">). </w:t>
      </w:r>
    </w:p>
    <w:p w:rsidR="00A44E5D" w:rsidRPr="001B5624" w:rsidRDefault="00A44E5D" w:rsidP="006630CA">
      <w:pPr>
        <w:spacing w:after="120" w:line="240" w:lineRule="auto"/>
        <w:ind w:firstLine="709"/>
        <w:jc w:val="both"/>
        <w:rPr>
          <w:rFonts w:ascii="Times New Roman" w:hAnsi="Times New Roman" w:cs="Times New Roman"/>
          <w:iCs/>
          <w:sz w:val="26"/>
          <w:szCs w:val="26"/>
        </w:rPr>
      </w:pPr>
      <w:r w:rsidRPr="001B5624">
        <w:rPr>
          <w:rFonts w:ascii="Times New Roman" w:hAnsi="Times New Roman" w:cs="Times New Roman"/>
          <w:iCs/>
          <w:sz w:val="26"/>
          <w:szCs w:val="26"/>
        </w:rPr>
        <w:t xml:space="preserve">Для базового сценария почти во всех прогнозных системах используется </w:t>
      </w:r>
      <w:r w:rsidRPr="001B5624">
        <w:rPr>
          <w:rFonts w:ascii="Times New Roman" w:hAnsi="Times New Roman" w:cs="Times New Roman"/>
          <w:i/>
          <w:iCs/>
          <w:sz w:val="26"/>
          <w:szCs w:val="26"/>
        </w:rPr>
        <w:t xml:space="preserve">индексный метод – </w:t>
      </w:r>
      <w:r w:rsidRPr="001B5624">
        <w:rPr>
          <w:rFonts w:ascii="Times New Roman" w:hAnsi="Times New Roman" w:cs="Times New Roman"/>
          <w:iCs/>
          <w:sz w:val="26"/>
          <w:szCs w:val="26"/>
        </w:rPr>
        <w:t>один из видов факторного анализа</w:t>
      </w:r>
      <w:r w:rsidRPr="001B5624">
        <w:rPr>
          <w:rFonts w:ascii="Times New Roman" w:hAnsi="Times New Roman" w:cs="Times New Roman"/>
          <w:i/>
          <w:iCs/>
          <w:sz w:val="26"/>
          <w:szCs w:val="26"/>
        </w:rPr>
        <w:t xml:space="preserve">. </w:t>
      </w:r>
      <w:r w:rsidRPr="001B5624">
        <w:rPr>
          <w:rFonts w:ascii="Times New Roman" w:hAnsi="Times New Roman" w:cs="Times New Roman"/>
          <w:iCs/>
          <w:sz w:val="26"/>
          <w:szCs w:val="26"/>
        </w:rPr>
        <w:t>Данный подход предполагает определение общего тренда в долгосрочной перспективе и не учитывает краткосрочных колебаний конъюнктуры.</w:t>
      </w:r>
    </w:p>
    <w:p w:rsidR="00A44E5D" w:rsidRPr="001B5624" w:rsidRDefault="00A44E5D" w:rsidP="006630CA">
      <w:pPr>
        <w:spacing w:after="120" w:line="240" w:lineRule="auto"/>
        <w:ind w:firstLine="709"/>
        <w:jc w:val="both"/>
        <w:rPr>
          <w:rFonts w:ascii="Times New Roman" w:hAnsi="Times New Roman" w:cs="Times New Roman"/>
          <w:iCs/>
          <w:sz w:val="26"/>
          <w:szCs w:val="26"/>
        </w:rPr>
      </w:pPr>
      <w:r w:rsidRPr="001B5624">
        <w:rPr>
          <w:rFonts w:ascii="Times New Roman" w:hAnsi="Times New Roman" w:cs="Times New Roman"/>
          <w:iCs/>
          <w:sz w:val="26"/>
          <w:szCs w:val="26"/>
        </w:rPr>
        <w:t xml:space="preserve">В целом основной проблемой применения всех выше описанных методов к прогнозированию биржевых цен на нефть (и зависимых от них цен на природный газ) является невозможность построения адекватного прогноза на основе рыночного баланса спроса и предложения, даже в случае правильного определения последних (что также непросто, поскольку требует ясного понимания динамики НТП). Ни одна из известных сегодня моделей не способна учесть весь набор факторов, влияющих на ценообразование нефти, среди которых некоторые носят принципиально нерасчетный характер (геополитические риски и изменение государственного регулирования), а другие являются </w:t>
      </w:r>
      <w:proofErr w:type="spellStart"/>
      <w:r w:rsidRPr="001B5624">
        <w:rPr>
          <w:rFonts w:ascii="Times New Roman" w:hAnsi="Times New Roman" w:cs="Times New Roman"/>
          <w:iCs/>
          <w:sz w:val="26"/>
          <w:szCs w:val="26"/>
        </w:rPr>
        <w:t>труднопрогнозируемыми</w:t>
      </w:r>
      <w:proofErr w:type="spellEnd"/>
      <w:r w:rsidRPr="001B5624">
        <w:rPr>
          <w:rFonts w:ascii="Times New Roman" w:hAnsi="Times New Roman" w:cs="Times New Roman"/>
          <w:iCs/>
          <w:sz w:val="26"/>
          <w:szCs w:val="26"/>
        </w:rPr>
        <w:t xml:space="preserve"> сами по себе (показатели развития финансового рынка, в </w:t>
      </w:r>
      <w:proofErr w:type="spellStart"/>
      <w:r w:rsidRPr="001B5624">
        <w:rPr>
          <w:rFonts w:ascii="Times New Roman" w:hAnsi="Times New Roman" w:cs="Times New Roman"/>
          <w:iCs/>
          <w:sz w:val="26"/>
          <w:szCs w:val="26"/>
        </w:rPr>
        <w:t>т.ч</w:t>
      </w:r>
      <w:proofErr w:type="spellEnd"/>
      <w:r w:rsidRPr="001B5624">
        <w:rPr>
          <w:rFonts w:ascii="Times New Roman" w:hAnsi="Times New Roman" w:cs="Times New Roman"/>
          <w:iCs/>
          <w:sz w:val="26"/>
          <w:szCs w:val="26"/>
        </w:rPr>
        <w:t>. курс доллара США).</w:t>
      </w:r>
    </w:p>
    <w:p w:rsidR="00A44E5D" w:rsidRPr="001B5624" w:rsidRDefault="00A44E5D" w:rsidP="006630CA">
      <w:pPr>
        <w:spacing w:after="120" w:line="240" w:lineRule="auto"/>
        <w:ind w:firstLine="709"/>
        <w:jc w:val="both"/>
        <w:rPr>
          <w:rFonts w:ascii="Times New Roman" w:hAnsi="Times New Roman" w:cs="Times New Roman"/>
          <w:iCs/>
          <w:sz w:val="26"/>
          <w:szCs w:val="26"/>
        </w:rPr>
      </w:pPr>
      <w:r w:rsidRPr="001B5624">
        <w:rPr>
          <w:rFonts w:ascii="Times New Roman" w:hAnsi="Times New Roman" w:cs="Times New Roman"/>
          <w:iCs/>
          <w:sz w:val="26"/>
          <w:szCs w:val="26"/>
        </w:rPr>
        <w:t xml:space="preserve">Накопленный за 1980-2010-е гг. опыт прогнозирования мировых цен на нефть свидетельствует о возможности адекватного прогнозирования лишь широкого диапазона изменения цен на нефть, определяемого нижней (как правило, минимальные издержки добычи и транспортировки) и верхней (обычно достижение критического уровня издержек экономики) границ прогнозного коридора. Однако поступательный НТП и снижение </w:t>
      </w:r>
      <w:proofErr w:type="spellStart"/>
      <w:r w:rsidRPr="001B5624">
        <w:rPr>
          <w:rFonts w:ascii="Times New Roman" w:hAnsi="Times New Roman" w:cs="Times New Roman"/>
          <w:iCs/>
          <w:sz w:val="26"/>
          <w:szCs w:val="26"/>
        </w:rPr>
        <w:t>нефтеемкости</w:t>
      </w:r>
      <w:proofErr w:type="spellEnd"/>
      <w:r w:rsidRPr="001B5624">
        <w:rPr>
          <w:rFonts w:ascii="Times New Roman" w:hAnsi="Times New Roman" w:cs="Times New Roman"/>
          <w:iCs/>
          <w:sz w:val="26"/>
          <w:szCs w:val="26"/>
        </w:rPr>
        <w:t xml:space="preserve"> мировой экономики приводят к постепенному расширению этого коридора.  </w:t>
      </w:r>
    </w:p>
    <w:p w:rsidR="00A44E5D" w:rsidRPr="000F4260" w:rsidRDefault="00A44E5D" w:rsidP="000F4260">
      <w:pPr>
        <w:spacing w:after="120" w:line="240" w:lineRule="auto"/>
        <w:ind w:firstLine="709"/>
        <w:jc w:val="both"/>
        <w:rPr>
          <w:rFonts w:ascii="Times New Roman" w:hAnsi="Times New Roman" w:cs="Times New Roman"/>
          <w:iCs/>
          <w:sz w:val="26"/>
          <w:szCs w:val="26"/>
        </w:rPr>
      </w:pPr>
      <w:r w:rsidRPr="001B5624">
        <w:rPr>
          <w:rFonts w:ascii="Times New Roman" w:hAnsi="Times New Roman" w:cs="Times New Roman"/>
          <w:iCs/>
          <w:sz w:val="26"/>
          <w:szCs w:val="26"/>
        </w:rPr>
        <w:t xml:space="preserve">При этом следует отметить, что при подготовке наиболее известных прогнозов (например, МЭА и </w:t>
      </w:r>
      <w:r w:rsidRPr="001B5624">
        <w:rPr>
          <w:rFonts w:ascii="Times New Roman" w:hAnsi="Times New Roman" w:cs="Times New Roman"/>
          <w:iCs/>
          <w:sz w:val="26"/>
          <w:szCs w:val="26"/>
          <w:lang w:val="en-US"/>
        </w:rPr>
        <w:t>EIA</w:t>
      </w:r>
      <w:r w:rsidRPr="001B5624">
        <w:rPr>
          <w:rFonts w:ascii="Times New Roman" w:hAnsi="Times New Roman" w:cs="Times New Roman"/>
          <w:iCs/>
          <w:sz w:val="26"/>
          <w:szCs w:val="26"/>
        </w:rPr>
        <w:t xml:space="preserve">), цены на нефть фактически не рассчитываются, а задаются как сценарная предпосылка, т.е. фактически </w:t>
      </w:r>
      <w:bookmarkStart w:id="209" w:name="_Toc430150459"/>
      <w:r w:rsidR="000F4260">
        <w:rPr>
          <w:rFonts w:ascii="Times New Roman" w:hAnsi="Times New Roman" w:cs="Times New Roman"/>
          <w:iCs/>
          <w:sz w:val="26"/>
          <w:szCs w:val="26"/>
        </w:rPr>
        <w:t xml:space="preserve">являются экспертным мнением. </w:t>
      </w:r>
    </w:p>
    <w:p w:rsidR="00A44E5D" w:rsidRPr="000F4260" w:rsidRDefault="00A44E5D" w:rsidP="000F4260">
      <w:pPr>
        <w:pStyle w:val="1"/>
        <w:rPr>
          <w:rFonts w:ascii="Times New Roman" w:hAnsi="Times New Roman" w:cs="Times New Roman"/>
          <w:color w:val="1F497D" w:themeColor="text2"/>
        </w:rPr>
      </w:pPr>
      <w:bookmarkStart w:id="210" w:name="_Toc431474330"/>
      <w:r w:rsidRPr="006630CA">
        <w:rPr>
          <w:rFonts w:ascii="Times New Roman" w:hAnsi="Times New Roman" w:cs="Times New Roman"/>
          <w:color w:val="1F497D" w:themeColor="text2"/>
        </w:rPr>
        <w:t>Новые поставщики</w:t>
      </w:r>
      <w:bookmarkEnd w:id="209"/>
      <w:bookmarkEnd w:id="210"/>
    </w:p>
    <w:p w:rsidR="00A44E5D" w:rsidRPr="000F4260" w:rsidRDefault="00A44E5D" w:rsidP="000F4260">
      <w:pPr>
        <w:pStyle w:val="1"/>
        <w:rPr>
          <w:rFonts w:ascii="Times New Roman" w:hAnsi="Times New Roman" w:cs="Times New Roman"/>
          <w:color w:val="1F497D" w:themeColor="text2"/>
        </w:rPr>
      </w:pPr>
      <w:bookmarkStart w:id="211" w:name="_Toc430150460"/>
      <w:bookmarkStart w:id="212" w:name="_Toc431474331"/>
      <w:r w:rsidRPr="006630CA">
        <w:rPr>
          <w:rFonts w:ascii="Times New Roman" w:hAnsi="Times New Roman" w:cs="Times New Roman"/>
          <w:color w:val="1F497D" w:themeColor="text2"/>
        </w:rPr>
        <w:t>Изменение структуры мирового предложения нефти по странам</w:t>
      </w:r>
      <w:bookmarkEnd w:id="211"/>
      <w:bookmarkEnd w:id="212"/>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Основное предложение на мировом рынке формируют страны ОПЕК (39%),              США (13%) и Россия (12%). На остальные нефтедобывающие страны, по данным МЭА, приходится всего 36% мировой добычи нефти. При этом традиционная нефть активно замещается высокотехнологичной нефтью, доля которой в перспективе будет неуклонно расти, приближаясь к 30% в 2040 г.</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Ключевое изменение последних лет – резкий рост добычи нефти в США: +72% в 2014 г. к минимальному уровню 2008 г. В 2014 г. прирост добычи составил почти 16%. В итоге доля США на мировом рынке возросла с 7,6% в 2008 г. до 12,3% в 2014 г., по данным BP. Уровень самообеспеченности потребления нефти вырос в США за тот же период с 34,5% до 62,2%. Это принципиально изменило ситуацию в международной торговле нефтью. США стали вторым балансирующим производителем на мировом рынке, потеснив многолетнюю монополию Саудовской Аравии. Несмотря на сохранение запрета на экспорт сырой нефти из США, растущая добыча в США повлияла на мировой рынок через снижение импорта сырой нефти. В </w:t>
      </w:r>
      <w:r w:rsidRPr="001B5624">
        <w:rPr>
          <w:rFonts w:ascii="Times New Roman" w:hAnsi="Times New Roman" w:cs="Times New Roman"/>
          <w:sz w:val="26"/>
          <w:szCs w:val="26"/>
        </w:rPr>
        <w:lastRenderedPageBreak/>
        <w:t xml:space="preserve">2015 г. производители сланцевой нефти в США показали способность наращивать добычу даже в условиях падающих цен. Использование буровых установок на американском рынке сокращается, но падения добычи не происходит. Причина – в непрерывном совершенствовании технологий и повышении эффективности бурения. </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Сланцевая добыча достаточно диверсифицирована по уровню себестоимости. В условиях низких цен закрываются наименее эффективные проекты, что делает отрасль более устойчивой </w:t>
      </w:r>
      <w:proofErr w:type="gramStart"/>
      <w:r w:rsidRPr="001B5624">
        <w:rPr>
          <w:rFonts w:ascii="Times New Roman" w:hAnsi="Times New Roman" w:cs="Times New Roman"/>
          <w:sz w:val="26"/>
          <w:szCs w:val="26"/>
        </w:rPr>
        <w:t>к</w:t>
      </w:r>
      <w:proofErr w:type="gramEnd"/>
      <w:r w:rsidRPr="001B5624">
        <w:rPr>
          <w:rFonts w:ascii="Times New Roman" w:hAnsi="Times New Roman" w:cs="Times New Roman"/>
          <w:sz w:val="26"/>
          <w:szCs w:val="26"/>
        </w:rPr>
        <w:t xml:space="preserve"> ценовой волатильности. Кроме того, в сланцевой отрасли США действуют демпфирующие факторы: хеджирование, </w:t>
      </w:r>
      <w:proofErr w:type="spellStart"/>
      <w:r w:rsidRPr="001B5624">
        <w:rPr>
          <w:rFonts w:ascii="Times New Roman" w:hAnsi="Times New Roman" w:cs="Times New Roman"/>
          <w:sz w:val="26"/>
          <w:szCs w:val="26"/>
        </w:rPr>
        <w:t>закредитованность</w:t>
      </w:r>
      <w:proofErr w:type="spellEnd"/>
      <w:r w:rsidRPr="001B5624">
        <w:rPr>
          <w:rFonts w:ascii="Times New Roman" w:hAnsi="Times New Roman" w:cs="Times New Roman"/>
          <w:sz w:val="26"/>
          <w:szCs w:val="26"/>
        </w:rPr>
        <w:t xml:space="preserve"> компаний и т.д.</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Критическим для динамики сланцевой добычи является ценовой диапазон 50-60 долл. за баррель WTI, однако этот порог в целом имеет тенденцию к снижению, а не к росту.</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При условии увеличения цен на нефть рост добычи жидких углеводородов в США может продолжиться достаточно высокими темпами еще 3-4 года и </w:t>
      </w:r>
      <w:proofErr w:type="gramStart"/>
      <w:r w:rsidRPr="001B5624">
        <w:rPr>
          <w:rFonts w:ascii="Times New Roman" w:hAnsi="Times New Roman" w:cs="Times New Roman"/>
          <w:sz w:val="26"/>
          <w:szCs w:val="26"/>
        </w:rPr>
        <w:t>лишь</w:t>
      </w:r>
      <w:proofErr w:type="gramEnd"/>
      <w:r w:rsidRPr="001B5624">
        <w:rPr>
          <w:rFonts w:ascii="Times New Roman" w:hAnsi="Times New Roman" w:cs="Times New Roman"/>
          <w:sz w:val="26"/>
          <w:szCs w:val="26"/>
        </w:rPr>
        <w:t xml:space="preserve"> затем достигнет уровня естественной стабилизации.</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Стратегия Саудовской Аравии по вытеснению производителей с высокими затратами на добычу нефти за счет поддержания низких цен на текущий момент не дала ощутимых результатов, ее эффект может </w:t>
      </w:r>
      <w:proofErr w:type="gramStart"/>
      <w:r w:rsidRPr="001B5624">
        <w:rPr>
          <w:rFonts w:ascii="Times New Roman" w:hAnsi="Times New Roman" w:cs="Times New Roman"/>
          <w:sz w:val="26"/>
          <w:szCs w:val="26"/>
        </w:rPr>
        <w:t>проявится</w:t>
      </w:r>
      <w:proofErr w:type="gramEnd"/>
      <w:r w:rsidRPr="001B5624">
        <w:rPr>
          <w:rFonts w:ascii="Times New Roman" w:hAnsi="Times New Roman" w:cs="Times New Roman"/>
          <w:sz w:val="26"/>
          <w:szCs w:val="26"/>
        </w:rPr>
        <w:t xml:space="preserve"> не ранее, чем через 2-3 года, когда начнут проявляться первые последствия снижения капиталовложений в крупные добывающие проекты. Таким образом, ОПЕК должна придерживаться политики низких цен еще, как минимум, до 2018 г.</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В перспективе торговые потоки на мировом рынке нефти существенно изменятся. За счет роста добычи нефти сланцевых </w:t>
      </w:r>
      <w:proofErr w:type="spellStart"/>
      <w:r w:rsidRPr="001B5624">
        <w:rPr>
          <w:rFonts w:ascii="Times New Roman" w:hAnsi="Times New Roman" w:cs="Times New Roman"/>
          <w:sz w:val="26"/>
          <w:szCs w:val="26"/>
        </w:rPr>
        <w:t>плеев</w:t>
      </w:r>
      <w:proofErr w:type="spellEnd"/>
      <w:r w:rsidRPr="001B5624">
        <w:rPr>
          <w:rFonts w:ascii="Times New Roman" w:hAnsi="Times New Roman" w:cs="Times New Roman"/>
          <w:sz w:val="26"/>
          <w:szCs w:val="26"/>
        </w:rPr>
        <w:t xml:space="preserve"> в США и битуминозных песчаников в Канаде Северная Америка, по всей видимости, станет нетто-экспортером нефти не позднее 2025 г. Латинская Америка (в первую очередь, Бразилия благодаря разработке глубоководных месторождений) и Африка также усилят свои позиции. Однако Ближний Восток и Россия сохранят лидирующие позиции среди экспортеров. Остальные регионы-экспортеры будут терять позиции, отчасти по причине сжатия экспортных рынков из-за стагнации спроса (в Европе), отчасти из-за выхода на рынки в качестве крупного экспортера Северной Америки. Роль ОПЕК в международной торговле нефтью будет увеличиваться: к 2040 г. доля ОПЕК в мировом предложении нефти может достичь почти 50%.</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Будут и дальше сокращаться объемы импорта нефти в Европу, что обусловлено снижением загрузки </w:t>
      </w:r>
      <w:proofErr w:type="gramStart"/>
      <w:r w:rsidRPr="001B5624">
        <w:rPr>
          <w:rFonts w:ascii="Times New Roman" w:hAnsi="Times New Roman" w:cs="Times New Roman"/>
          <w:sz w:val="26"/>
          <w:szCs w:val="26"/>
        </w:rPr>
        <w:t>собственных</w:t>
      </w:r>
      <w:proofErr w:type="gramEnd"/>
      <w:r w:rsidRPr="001B5624">
        <w:rPr>
          <w:rFonts w:ascii="Times New Roman" w:hAnsi="Times New Roman" w:cs="Times New Roman"/>
          <w:sz w:val="26"/>
          <w:szCs w:val="26"/>
        </w:rPr>
        <w:t xml:space="preserve"> европейских НПЗ и стагнацией спроса в развитой Европе. Наиболее перспективным рынком сбыта для сырой нефти станут страны АТР – это единственный регион, где импорт будет расти. Китай и Северо-Восточная Азия в целом не смогут самостоятельно удовлетворить свой спрос на нефть и будут наращивать импорт, в основном с Ближнего Востока, а также из Северной Америки, России и стран Центральной Азии. </w:t>
      </w:r>
    </w:p>
    <w:p w:rsidR="00A44E5D" w:rsidRPr="000F4260" w:rsidRDefault="00A44E5D" w:rsidP="000F4260">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После запуска новых перерабатывающих мощностей Латинская Америка должна превратиться из нетто-импортера нефтепродуктов в нетто-экспортера. В то время как импорт средних дистиллятов будет приходиться в основном на страны АТР, Европу, Африку и Латинскую Америку, растущие объемы поставок </w:t>
      </w:r>
      <w:proofErr w:type="spellStart"/>
      <w:r w:rsidRPr="001B5624">
        <w:rPr>
          <w:rFonts w:ascii="Times New Roman" w:hAnsi="Times New Roman" w:cs="Times New Roman"/>
          <w:sz w:val="26"/>
          <w:szCs w:val="26"/>
        </w:rPr>
        <w:t>нафты</w:t>
      </w:r>
      <w:proofErr w:type="spellEnd"/>
      <w:r w:rsidRPr="001B5624">
        <w:rPr>
          <w:rFonts w:ascii="Times New Roman" w:hAnsi="Times New Roman" w:cs="Times New Roman"/>
          <w:sz w:val="26"/>
          <w:szCs w:val="26"/>
        </w:rPr>
        <w:t xml:space="preserve"> </w:t>
      </w:r>
      <w:r w:rsidRPr="001B5624">
        <w:rPr>
          <w:rFonts w:ascii="Times New Roman" w:hAnsi="Times New Roman" w:cs="Times New Roman"/>
          <w:sz w:val="26"/>
          <w:szCs w:val="26"/>
        </w:rPr>
        <w:lastRenderedPageBreak/>
        <w:t>будут сконцентрированы в основном в АТР. В Европе будет наблюдаться долгосрочное с</w:t>
      </w:r>
      <w:bookmarkStart w:id="213" w:name="_Toc430150461"/>
      <w:r w:rsidR="000F4260">
        <w:rPr>
          <w:rFonts w:ascii="Times New Roman" w:hAnsi="Times New Roman" w:cs="Times New Roman"/>
          <w:sz w:val="26"/>
          <w:szCs w:val="26"/>
        </w:rPr>
        <w:t>нижение импорта нефтепродуктов.</w:t>
      </w:r>
    </w:p>
    <w:p w:rsidR="00A44E5D" w:rsidRPr="00922DFA" w:rsidRDefault="00A44E5D" w:rsidP="006630CA">
      <w:pPr>
        <w:pStyle w:val="1"/>
        <w:rPr>
          <w:rFonts w:ascii="Times New Roman" w:hAnsi="Times New Roman" w:cs="Times New Roman"/>
          <w:color w:val="1F497D" w:themeColor="text2"/>
        </w:rPr>
      </w:pPr>
      <w:bookmarkStart w:id="214" w:name="_Toc431474332"/>
      <w:r w:rsidRPr="00922DFA">
        <w:rPr>
          <w:rFonts w:ascii="Times New Roman" w:hAnsi="Times New Roman" w:cs="Times New Roman"/>
          <w:color w:val="1F497D" w:themeColor="text2"/>
        </w:rPr>
        <w:t>Изменение структуры мирового предложения газа по странам</w:t>
      </w:r>
      <w:bookmarkEnd w:id="213"/>
      <w:bookmarkEnd w:id="214"/>
    </w:p>
    <w:p w:rsidR="006630CA" w:rsidRPr="006630CA" w:rsidRDefault="006630CA" w:rsidP="006630CA"/>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Основные изменения в структуре мирового предложения нефти в последние годы связано с резким ростом добычи газа в США и КНР при стагнации добычи в России и существенном снижении темпов прироста в странах Ближнего Востока. </w:t>
      </w:r>
      <w:proofErr w:type="gramStart"/>
      <w:r w:rsidRPr="001B5624">
        <w:rPr>
          <w:rFonts w:ascii="Times New Roman" w:hAnsi="Times New Roman" w:cs="Times New Roman"/>
          <w:sz w:val="26"/>
          <w:szCs w:val="26"/>
        </w:rPr>
        <w:t>Также, как</w:t>
      </w:r>
      <w:proofErr w:type="gramEnd"/>
      <w:r w:rsidRPr="001B5624">
        <w:rPr>
          <w:rFonts w:ascii="Times New Roman" w:hAnsi="Times New Roman" w:cs="Times New Roman"/>
          <w:sz w:val="26"/>
          <w:szCs w:val="26"/>
        </w:rPr>
        <w:t xml:space="preserve"> и ожидалось, усилилась тенденция к падению собственной добычи газа в ЕС. </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Существенной тенденцией развития мирового газового рынка остается его регионализация, противостоящая доминировавшей ранее тенденции глобализации, двигателем которой является рост торговли СПГ. </w:t>
      </w:r>
      <w:proofErr w:type="gramStart"/>
      <w:r w:rsidRPr="001B5624">
        <w:rPr>
          <w:rFonts w:ascii="Times New Roman" w:hAnsi="Times New Roman" w:cs="Times New Roman"/>
          <w:sz w:val="26"/>
          <w:szCs w:val="26"/>
        </w:rPr>
        <w:t>Регионализация опирается на политическую реакцию крупнейших экономик мира на рост агрессивности внешней политики стран-экспортеров газа (создание «газового ОПЕК», политика Венесуэлы, России и др.), возрастающие в связи с ними геополитические риски (Иран, Нигерия, Ливия, Венесуэла и др.), стремительный рост цен на импортируемые энергоресурсы в 2000-е гг. В этих условиях развитые страны, а также КНР, нацелены на достижение двух целей: рост самодостаточности</w:t>
      </w:r>
      <w:proofErr w:type="gramEnd"/>
      <w:r w:rsidRPr="001B5624">
        <w:rPr>
          <w:rFonts w:ascii="Times New Roman" w:hAnsi="Times New Roman" w:cs="Times New Roman"/>
          <w:sz w:val="26"/>
          <w:szCs w:val="26"/>
        </w:rPr>
        <w:t xml:space="preserve"> в обеспечении внутреннего рынка за счет разработки собственных традиционных и особенно нетрадиционных источников газа, что в числе прочего должно способствовать снижению цен (положительный пример – динамика цен на газ в США в 2008-2013 гг.) и максимальная диверсификация оставшихся внешних источников поставок. Обе тенденции в перспективе способны существенно изменить географию мировой добычи и международной торговли трубопроводным и сжиженным газом и заметно ослабить позиции России и других крупных традиционных поставщиков газа на рынке ЕС. </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Ресурсы нетрадиционного газа в обозримой перспективе останутся в первую очередь ресурсами локального (местного) энергопотребления. Однако реализация потенциала, который таится в нетрадиционном газе, потребует значительных инвестиций в его добычу, транспортировку и доставку потребителям. За 2010-2035 гг., по оценкам МЭА, объём подобных инвестиций может составить до 9,5 </w:t>
      </w:r>
      <w:proofErr w:type="gramStart"/>
      <w:r w:rsidRPr="001B5624">
        <w:rPr>
          <w:rFonts w:ascii="Times New Roman" w:hAnsi="Times New Roman" w:cs="Times New Roman"/>
          <w:sz w:val="26"/>
          <w:szCs w:val="26"/>
        </w:rPr>
        <w:t>трлн</w:t>
      </w:r>
      <w:proofErr w:type="gramEnd"/>
      <w:r w:rsidRPr="001B5624">
        <w:rPr>
          <w:rFonts w:ascii="Times New Roman" w:hAnsi="Times New Roman" w:cs="Times New Roman"/>
          <w:sz w:val="26"/>
          <w:szCs w:val="26"/>
        </w:rPr>
        <w:t xml:space="preserve"> долл., причём более половины этой суммы будет приходиться на развивающиеся страны.</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Следует заметить, что порядка 20% добываемого в мире газа не поступает на товарный рынок. Часть этого газа используется для повторной закачки в нефтяные скважины для поддержания нефтяного дебита, часть подвергается сжиганию на факелах, часть списывается на потери в процессе добычи. Однако объемы потерь газа, приходящихся на его </w:t>
      </w:r>
      <w:proofErr w:type="gramStart"/>
      <w:r w:rsidRPr="001B5624">
        <w:rPr>
          <w:rFonts w:ascii="Times New Roman" w:hAnsi="Times New Roman" w:cs="Times New Roman"/>
          <w:sz w:val="26"/>
          <w:szCs w:val="26"/>
        </w:rPr>
        <w:t>сжигание</w:t>
      </w:r>
      <w:proofErr w:type="gramEnd"/>
      <w:r w:rsidRPr="001B5624">
        <w:rPr>
          <w:rFonts w:ascii="Times New Roman" w:hAnsi="Times New Roman" w:cs="Times New Roman"/>
          <w:sz w:val="26"/>
          <w:szCs w:val="26"/>
        </w:rPr>
        <w:t xml:space="preserve"> на факелах</w:t>
      </w:r>
      <w:r w:rsidR="007828CD">
        <w:rPr>
          <w:rFonts w:ascii="Times New Roman" w:hAnsi="Times New Roman" w:cs="Times New Roman"/>
          <w:sz w:val="26"/>
          <w:szCs w:val="26"/>
        </w:rPr>
        <w:t>,</w:t>
      </w:r>
      <w:r w:rsidRPr="001B5624">
        <w:rPr>
          <w:rFonts w:ascii="Times New Roman" w:hAnsi="Times New Roman" w:cs="Times New Roman"/>
          <w:sz w:val="26"/>
          <w:szCs w:val="26"/>
        </w:rPr>
        <w:t xml:space="preserve"> в последние годы имеют тенденцию к сокращению. Это происходит на фоне проводимой активной политики в этой области различными государствами.</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 В перспективе развивающиеся страны Азии – это единственный регион, который поменяет статус нетто-экспортера природного газа на нетто-импортера, при этом наибольший рост импорта ожидается в КНР и Индии. При этом в перспективе до 2020 г. в АТР ожидается и основной прирост производства СПГ, что сохранит тенденцию к регионализации рынка.</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lastRenderedPageBreak/>
        <w:t xml:space="preserve">Северная Америка за счет добычи сланцевого газа обеспечит полную самодостаточность, снизит зависимость от внешних поставщиков, получит возможность гибко реагировать на колебания рыночной конъюнктуры, изменять направления поставок на наиболее прибыльные рынки. </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Большая неопределенность остается с перспективами экспорта газа из США, особенно в период до 2020 г. По последним прогнозам </w:t>
      </w:r>
      <w:r w:rsidRPr="001B5624">
        <w:rPr>
          <w:rFonts w:ascii="Times New Roman" w:hAnsi="Times New Roman" w:cs="Times New Roman"/>
          <w:sz w:val="26"/>
          <w:szCs w:val="26"/>
          <w:lang w:val="en-US"/>
        </w:rPr>
        <w:t>IEA</w:t>
      </w:r>
      <w:r w:rsidRPr="001B5624">
        <w:rPr>
          <w:rFonts w:ascii="Times New Roman" w:hAnsi="Times New Roman" w:cs="Times New Roman"/>
          <w:sz w:val="26"/>
          <w:szCs w:val="26"/>
        </w:rPr>
        <w:t xml:space="preserve">, США способны поставить на мировой рынок около 60 </w:t>
      </w:r>
      <w:proofErr w:type="gramStart"/>
      <w:r w:rsidRPr="001B5624">
        <w:rPr>
          <w:rFonts w:ascii="Times New Roman" w:hAnsi="Times New Roman" w:cs="Times New Roman"/>
          <w:sz w:val="26"/>
          <w:szCs w:val="26"/>
        </w:rPr>
        <w:t>млрд</w:t>
      </w:r>
      <w:proofErr w:type="gramEnd"/>
      <w:r w:rsidRPr="001B5624">
        <w:rPr>
          <w:rFonts w:ascii="Times New Roman" w:hAnsi="Times New Roman" w:cs="Times New Roman"/>
          <w:sz w:val="26"/>
          <w:szCs w:val="26"/>
        </w:rPr>
        <w:t xml:space="preserve"> м</w:t>
      </w:r>
      <w:r w:rsidRPr="001B5624">
        <w:rPr>
          <w:rFonts w:ascii="Times New Roman" w:hAnsi="Times New Roman" w:cs="Times New Roman"/>
          <w:sz w:val="26"/>
          <w:szCs w:val="26"/>
          <w:vertAlign w:val="superscript"/>
        </w:rPr>
        <w:t>3</w:t>
      </w:r>
      <w:r w:rsidRPr="001B5624">
        <w:rPr>
          <w:rFonts w:ascii="Times New Roman" w:hAnsi="Times New Roman" w:cs="Times New Roman"/>
          <w:sz w:val="26"/>
          <w:szCs w:val="26"/>
        </w:rPr>
        <w:t xml:space="preserve"> СПГ в год в 2020 г. и 94 млрд - в 2030-2040 гг., однако насколько этот потенциал будет реализован неясно. Суммарная проектная мощность уже строящихся 6 СПГ-заводов в США составляет 78 </w:t>
      </w:r>
      <w:proofErr w:type="gramStart"/>
      <w:r w:rsidRPr="001B5624">
        <w:rPr>
          <w:rFonts w:ascii="Times New Roman" w:hAnsi="Times New Roman" w:cs="Times New Roman"/>
          <w:sz w:val="26"/>
          <w:szCs w:val="26"/>
        </w:rPr>
        <w:t>млрд</w:t>
      </w:r>
      <w:proofErr w:type="gramEnd"/>
      <w:r w:rsidRPr="001B5624">
        <w:rPr>
          <w:rFonts w:ascii="Times New Roman" w:hAnsi="Times New Roman" w:cs="Times New Roman"/>
          <w:sz w:val="26"/>
          <w:szCs w:val="26"/>
        </w:rPr>
        <w:t xml:space="preserve"> м</w:t>
      </w:r>
      <w:r w:rsidRPr="001B5624">
        <w:rPr>
          <w:rFonts w:ascii="Times New Roman" w:hAnsi="Times New Roman" w:cs="Times New Roman"/>
          <w:sz w:val="26"/>
          <w:szCs w:val="26"/>
          <w:vertAlign w:val="superscript"/>
        </w:rPr>
        <w:t>3</w:t>
      </w:r>
      <w:r w:rsidRPr="001B5624">
        <w:rPr>
          <w:rFonts w:ascii="Times New Roman" w:hAnsi="Times New Roman" w:cs="Times New Roman"/>
          <w:sz w:val="26"/>
          <w:szCs w:val="26"/>
        </w:rPr>
        <w:t xml:space="preserve"> в год, однако законтрактованные объемы по ним не подразумевают юридических обязательств сторон, по сути это предварительные соглашения. Можно ожидать строительства еще 3 из 36 заявленных заводов (</w:t>
      </w:r>
      <w:proofErr w:type="spellStart"/>
      <w:r w:rsidRPr="001B5624">
        <w:rPr>
          <w:rFonts w:ascii="Times New Roman" w:hAnsi="Times New Roman" w:cs="Times New Roman"/>
          <w:sz w:val="26"/>
          <w:szCs w:val="26"/>
        </w:rPr>
        <w:t>Corpus</w:t>
      </w:r>
      <w:proofErr w:type="spellEnd"/>
      <w:r w:rsidRPr="001B5624">
        <w:rPr>
          <w:rFonts w:ascii="Times New Roman" w:hAnsi="Times New Roman" w:cs="Times New Roman"/>
          <w:sz w:val="26"/>
          <w:szCs w:val="26"/>
        </w:rPr>
        <w:t xml:space="preserve"> </w:t>
      </w:r>
      <w:proofErr w:type="spellStart"/>
      <w:r w:rsidRPr="001B5624">
        <w:rPr>
          <w:rFonts w:ascii="Times New Roman" w:hAnsi="Times New Roman" w:cs="Times New Roman"/>
          <w:sz w:val="26"/>
          <w:szCs w:val="26"/>
        </w:rPr>
        <w:t>Christi</w:t>
      </w:r>
      <w:proofErr w:type="spellEnd"/>
      <w:r w:rsidRPr="001B5624">
        <w:rPr>
          <w:rFonts w:ascii="Times New Roman" w:hAnsi="Times New Roman" w:cs="Times New Roman"/>
          <w:sz w:val="26"/>
          <w:szCs w:val="26"/>
        </w:rPr>
        <w:t xml:space="preserve"> T3, </w:t>
      </w:r>
      <w:proofErr w:type="spellStart"/>
      <w:r w:rsidRPr="001B5624">
        <w:rPr>
          <w:rFonts w:ascii="Times New Roman" w:hAnsi="Times New Roman" w:cs="Times New Roman"/>
          <w:sz w:val="26"/>
          <w:szCs w:val="26"/>
        </w:rPr>
        <w:t>Sabine</w:t>
      </w:r>
      <w:proofErr w:type="spellEnd"/>
      <w:r w:rsidRPr="001B5624">
        <w:rPr>
          <w:rFonts w:ascii="Times New Roman" w:hAnsi="Times New Roman" w:cs="Times New Roman"/>
          <w:sz w:val="26"/>
          <w:szCs w:val="26"/>
        </w:rPr>
        <w:t xml:space="preserve"> </w:t>
      </w:r>
      <w:proofErr w:type="spellStart"/>
      <w:r w:rsidRPr="001B5624">
        <w:rPr>
          <w:rFonts w:ascii="Times New Roman" w:hAnsi="Times New Roman" w:cs="Times New Roman"/>
          <w:sz w:val="26"/>
          <w:szCs w:val="26"/>
        </w:rPr>
        <w:t>Pass</w:t>
      </w:r>
      <w:proofErr w:type="spellEnd"/>
      <w:r w:rsidRPr="001B5624">
        <w:rPr>
          <w:rFonts w:ascii="Times New Roman" w:hAnsi="Times New Roman" w:cs="Times New Roman"/>
          <w:sz w:val="26"/>
          <w:szCs w:val="26"/>
        </w:rPr>
        <w:t xml:space="preserve"> T5-6 и </w:t>
      </w:r>
      <w:proofErr w:type="spellStart"/>
      <w:r w:rsidRPr="001B5624">
        <w:rPr>
          <w:rFonts w:ascii="Times New Roman" w:hAnsi="Times New Roman" w:cs="Times New Roman"/>
          <w:sz w:val="26"/>
          <w:szCs w:val="26"/>
        </w:rPr>
        <w:t>Elba</w:t>
      </w:r>
      <w:proofErr w:type="spellEnd"/>
      <w:r w:rsidRPr="001B5624">
        <w:rPr>
          <w:rFonts w:ascii="Times New Roman" w:hAnsi="Times New Roman" w:cs="Times New Roman"/>
          <w:sz w:val="26"/>
          <w:szCs w:val="26"/>
        </w:rPr>
        <w:t xml:space="preserve"> </w:t>
      </w:r>
      <w:proofErr w:type="spellStart"/>
      <w:r w:rsidRPr="001B5624">
        <w:rPr>
          <w:rFonts w:ascii="Times New Roman" w:hAnsi="Times New Roman" w:cs="Times New Roman"/>
          <w:sz w:val="26"/>
          <w:szCs w:val="26"/>
        </w:rPr>
        <w:t>Island</w:t>
      </w:r>
      <w:proofErr w:type="spellEnd"/>
      <w:r w:rsidRPr="001B5624">
        <w:rPr>
          <w:rFonts w:ascii="Times New Roman" w:hAnsi="Times New Roman" w:cs="Times New Roman"/>
          <w:sz w:val="26"/>
          <w:szCs w:val="26"/>
        </w:rPr>
        <w:t xml:space="preserve"> LNG) суммарной мощностью 22 </w:t>
      </w:r>
      <w:proofErr w:type="gramStart"/>
      <w:r w:rsidRPr="001B5624">
        <w:rPr>
          <w:rFonts w:ascii="Times New Roman" w:hAnsi="Times New Roman" w:cs="Times New Roman"/>
          <w:sz w:val="26"/>
          <w:szCs w:val="26"/>
        </w:rPr>
        <w:t>млрд</w:t>
      </w:r>
      <w:proofErr w:type="gramEnd"/>
      <w:r w:rsidRPr="001B5624">
        <w:rPr>
          <w:rFonts w:ascii="Times New Roman" w:hAnsi="Times New Roman" w:cs="Times New Roman"/>
          <w:sz w:val="26"/>
          <w:szCs w:val="26"/>
        </w:rPr>
        <w:t xml:space="preserve"> м</w:t>
      </w:r>
      <w:r w:rsidRPr="001B5624">
        <w:rPr>
          <w:rFonts w:ascii="Times New Roman" w:hAnsi="Times New Roman" w:cs="Times New Roman"/>
          <w:sz w:val="26"/>
          <w:szCs w:val="26"/>
          <w:vertAlign w:val="superscript"/>
        </w:rPr>
        <w:t>3</w:t>
      </w:r>
      <w:r w:rsidRPr="001B5624">
        <w:rPr>
          <w:rFonts w:ascii="Times New Roman" w:hAnsi="Times New Roman" w:cs="Times New Roman"/>
          <w:sz w:val="26"/>
          <w:szCs w:val="26"/>
        </w:rPr>
        <w:t xml:space="preserve"> в год. Большая часть </w:t>
      </w:r>
      <w:proofErr w:type="gramStart"/>
      <w:r w:rsidRPr="001B5624">
        <w:rPr>
          <w:rFonts w:ascii="Times New Roman" w:hAnsi="Times New Roman" w:cs="Times New Roman"/>
          <w:sz w:val="26"/>
          <w:szCs w:val="26"/>
        </w:rPr>
        <w:t>американского</w:t>
      </w:r>
      <w:proofErr w:type="gramEnd"/>
      <w:r w:rsidRPr="001B5624">
        <w:rPr>
          <w:rFonts w:ascii="Times New Roman" w:hAnsi="Times New Roman" w:cs="Times New Roman"/>
          <w:sz w:val="26"/>
          <w:szCs w:val="26"/>
        </w:rPr>
        <w:t xml:space="preserve"> СПГ ориентирована пока на Японию и Республику Корею. Однако даже на рынке этих двух стран он потенциально займет не более 20-25%, вытесняя, прежде всего, ближневосточный газ. Основное значение «сланцевой революции» и ожидания превращения США в страну-экспортера газа по-прежнему заключается в ценовом давлении </w:t>
      </w:r>
      <w:proofErr w:type="spellStart"/>
      <w:r w:rsidRPr="001B5624">
        <w:rPr>
          <w:rFonts w:ascii="Times New Roman" w:hAnsi="Times New Roman" w:cs="Times New Roman"/>
          <w:sz w:val="26"/>
          <w:szCs w:val="26"/>
        </w:rPr>
        <w:t>Henry</w:t>
      </w:r>
      <w:proofErr w:type="spellEnd"/>
      <w:r w:rsidRPr="001B5624">
        <w:rPr>
          <w:rFonts w:ascii="Times New Roman" w:hAnsi="Times New Roman" w:cs="Times New Roman"/>
          <w:sz w:val="26"/>
          <w:szCs w:val="26"/>
        </w:rPr>
        <w:t xml:space="preserve"> </w:t>
      </w:r>
      <w:proofErr w:type="spellStart"/>
      <w:r w:rsidRPr="001B5624">
        <w:rPr>
          <w:rFonts w:ascii="Times New Roman" w:hAnsi="Times New Roman" w:cs="Times New Roman"/>
          <w:sz w:val="26"/>
          <w:szCs w:val="26"/>
        </w:rPr>
        <w:t>Hub</w:t>
      </w:r>
      <w:proofErr w:type="spellEnd"/>
      <w:r w:rsidRPr="001B5624">
        <w:rPr>
          <w:rFonts w:ascii="Times New Roman" w:hAnsi="Times New Roman" w:cs="Times New Roman"/>
          <w:sz w:val="26"/>
          <w:szCs w:val="26"/>
        </w:rPr>
        <w:t xml:space="preserve"> на ценообразование в Северо-Восточной Азии.</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В целом, развитие добычи сланцевого газа в США будет оказывать значительное влияние на мировые рынки, прежде всего в части перераспределения потоков СПГ, роль которого в международной торговле газом существенно возрастет. С 2016-2018</w:t>
      </w:r>
      <w:r>
        <w:rPr>
          <w:rFonts w:ascii="Times New Roman" w:hAnsi="Times New Roman" w:cs="Times New Roman"/>
          <w:sz w:val="26"/>
          <w:szCs w:val="26"/>
        </w:rPr>
        <w:t> </w:t>
      </w:r>
      <w:r w:rsidRPr="001B5624">
        <w:rPr>
          <w:rFonts w:ascii="Times New Roman" w:hAnsi="Times New Roman" w:cs="Times New Roman"/>
          <w:sz w:val="26"/>
          <w:szCs w:val="26"/>
        </w:rPr>
        <w:t xml:space="preserve">гг. возможно начало экспорта СПГ из США и Канады. Этот экспорт будет направляться, прежде всего, на рынки АТР, Латинской Америки и Европы. Помимо США и Канады, крупным экспортером СПГ станет Австралия, которая к </w:t>
      </w:r>
      <w:smartTag w:uri="urn:schemas-microsoft-com:office:smarttags" w:element="metricconverter">
        <w:smartTagPr>
          <w:attr w:name="ProductID" w:val="2018 г"/>
        </w:smartTagPr>
        <w:r w:rsidRPr="001B5624">
          <w:rPr>
            <w:rFonts w:ascii="Times New Roman" w:hAnsi="Times New Roman" w:cs="Times New Roman"/>
            <w:sz w:val="26"/>
            <w:szCs w:val="26"/>
          </w:rPr>
          <w:t>2018 г</w:t>
        </w:r>
      </w:smartTag>
      <w:r w:rsidRPr="001B5624">
        <w:rPr>
          <w:rFonts w:ascii="Times New Roman" w:hAnsi="Times New Roman" w:cs="Times New Roman"/>
          <w:sz w:val="26"/>
          <w:szCs w:val="26"/>
        </w:rPr>
        <w:t xml:space="preserve">. обгонит Катар по объему мощностей сжижения, а также Восточная Африка. Появление новых крупных игроков на рыке СПГ достаточно сильно скорректирует направления поставок традиционных производителей, которые все больше будут ориентировать свой экспорт на Азию. </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Страны ОПЕК стремительно теряют свои позиции на газовом рынке, как из-за появления новых игроков (США, Австралия), так и из-за резкого роста внутреннего спроса на газ и необходимости удовлетворить его для решения социальных проблем.</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Большие запасы нетрадиционного газа в Китае и стремление их активно разрабатывать в сочетании с успешной диверсификацией импорта, опережающим развитием инфраструктуры и реформой ценообразования на внутреннем рынке делают его хотя и сложно прогнозируемым, но все более важным для мирового рынка игроком. При этом КНР усиливает позиции в других регионах участием своих компаний в разработке ресурсов и поставках газа по долгосрочным контрактам с заниженными ценами.</w:t>
      </w:r>
    </w:p>
    <w:p w:rsidR="00A44E5D" w:rsidRPr="000F4260" w:rsidRDefault="00A44E5D" w:rsidP="000F4260">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В целом даже к 2040 г. почти 70% мировой добычи будет приходиться на традиционные источники газа. </w:t>
      </w:r>
      <w:proofErr w:type="gramStart"/>
      <w:r w:rsidRPr="001B5624">
        <w:rPr>
          <w:rFonts w:ascii="Times New Roman" w:hAnsi="Times New Roman" w:cs="Times New Roman"/>
          <w:sz w:val="26"/>
          <w:szCs w:val="26"/>
        </w:rPr>
        <w:t xml:space="preserve">Доля сланцевого газа в мировой добыче при этом может вырасти в два раза - до 18%. Основной абсолютный прирост добычи придется на КНР и США, а также Россию, Туркмению, Иран и Австралию (в последней основной прирост </w:t>
      </w:r>
      <w:bookmarkStart w:id="215" w:name="_Toc430150462"/>
      <w:r w:rsidR="000F4260">
        <w:rPr>
          <w:rFonts w:ascii="Times New Roman" w:hAnsi="Times New Roman" w:cs="Times New Roman"/>
          <w:sz w:val="26"/>
          <w:szCs w:val="26"/>
        </w:rPr>
        <w:t>придется на период до 2020 г.).</w:t>
      </w:r>
      <w:proofErr w:type="gramEnd"/>
    </w:p>
    <w:p w:rsidR="00A44E5D" w:rsidRPr="00922DFA" w:rsidRDefault="00A44E5D" w:rsidP="000F4260">
      <w:pPr>
        <w:pStyle w:val="1"/>
        <w:rPr>
          <w:rFonts w:ascii="Times New Roman" w:hAnsi="Times New Roman" w:cs="Times New Roman"/>
          <w:color w:val="1F497D" w:themeColor="text2"/>
        </w:rPr>
      </w:pPr>
      <w:bookmarkStart w:id="216" w:name="_Toc431474333"/>
      <w:r w:rsidRPr="00922DFA">
        <w:rPr>
          <w:rFonts w:ascii="Times New Roman" w:hAnsi="Times New Roman" w:cs="Times New Roman"/>
          <w:color w:val="1F497D" w:themeColor="text2"/>
        </w:rPr>
        <w:lastRenderedPageBreak/>
        <w:t xml:space="preserve">Динамика </w:t>
      </w:r>
      <w:proofErr w:type="spellStart"/>
      <w:r w:rsidRPr="00922DFA">
        <w:rPr>
          <w:rFonts w:ascii="Times New Roman" w:hAnsi="Times New Roman" w:cs="Times New Roman"/>
          <w:color w:val="1F497D" w:themeColor="text2"/>
        </w:rPr>
        <w:t>экспортоориентированных</w:t>
      </w:r>
      <w:proofErr w:type="spellEnd"/>
      <w:r w:rsidRPr="00922DFA">
        <w:rPr>
          <w:rFonts w:ascii="Times New Roman" w:hAnsi="Times New Roman" w:cs="Times New Roman"/>
          <w:color w:val="1F497D" w:themeColor="text2"/>
        </w:rPr>
        <w:t xml:space="preserve"> проектов</w:t>
      </w:r>
      <w:bookmarkStart w:id="217" w:name="_Toc430150463"/>
      <w:bookmarkEnd w:id="215"/>
      <w:bookmarkEnd w:id="216"/>
    </w:p>
    <w:p w:rsidR="00A44E5D" w:rsidRPr="00922DFA" w:rsidRDefault="00A44E5D" w:rsidP="000F4260">
      <w:pPr>
        <w:pStyle w:val="1"/>
        <w:rPr>
          <w:rFonts w:ascii="Times New Roman" w:hAnsi="Times New Roman" w:cs="Times New Roman"/>
          <w:i/>
          <w:color w:val="1F497D" w:themeColor="text2"/>
          <w:sz w:val="26"/>
          <w:szCs w:val="26"/>
        </w:rPr>
      </w:pPr>
      <w:bookmarkStart w:id="218" w:name="_Toc431474334"/>
      <w:r w:rsidRPr="00922DFA">
        <w:rPr>
          <w:rFonts w:ascii="Times New Roman" w:hAnsi="Times New Roman" w:cs="Times New Roman"/>
          <w:i/>
          <w:color w:val="1F497D" w:themeColor="text2"/>
          <w:sz w:val="26"/>
          <w:szCs w:val="26"/>
        </w:rPr>
        <w:t>Соотношение прироста мировой добычи нефти к приросту мирового экспорта нефти</w:t>
      </w:r>
      <w:bookmarkEnd w:id="217"/>
      <w:bookmarkEnd w:id="218"/>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Согласно данным </w:t>
      </w:r>
      <w:r w:rsidRPr="001B5624">
        <w:rPr>
          <w:rFonts w:ascii="Times New Roman" w:hAnsi="Times New Roman" w:cs="Times New Roman"/>
          <w:sz w:val="26"/>
          <w:szCs w:val="26"/>
          <w:lang w:val="en-US"/>
        </w:rPr>
        <w:t>BP</w:t>
      </w:r>
      <w:r w:rsidRPr="001B5624">
        <w:rPr>
          <w:rFonts w:ascii="Times New Roman" w:hAnsi="Times New Roman" w:cs="Times New Roman"/>
          <w:sz w:val="26"/>
          <w:szCs w:val="26"/>
        </w:rPr>
        <w:t xml:space="preserve">, мировое предложение нефти в 2014 г. впервые за многие годы превысило уровень потребления, однако символически: 4221 и 4211 </w:t>
      </w:r>
      <w:proofErr w:type="gramStart"/>
      <w:r w:rsidRPr="001B5624">
        <w:rPr>
          <w:rFonts w:ascii="Times New Roman" w:hAnsi="Times New Roman" w:cs="Times New Roman"/>
          <w:sz w:val="26"/>
          <w:szCs w:val="26"/>
        </w:rPr>
        <w:t>млн</w:t>
      </w:r>
      <w:proofErr w:type="gramEnd"/>
      <w:r w:rsidRPr="001B5624">
        <w:rPr>
          <w:rFonts w:ascii="Times New Roman" w:hAnsi="Times New Roman" w:cs="Times New Roman"/>
          <w:sz w:val="26"/>
          <w:szCs w:val="26"/>
        </w:rPr>
        <w:t xml:space="preserve"> т в год соответственно. Такое расхождение стало следствием принципиально различных темпов роста (к уровню 2013 г.): 2,3% в добыче и лишь 0,8% в потреблении нефти.</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Международная торговля нефтью, начиная с 2009 г., продолжает поступательно расти, однако остается лишь на 2,1% выше уровня докризисного 2007 г. Основная часть нового предложения нефти обеспечивается странами-импортерами и не ориентирована изначально на экспортные рынки. В итоге доля международной торговли в мировом потреблении нефти снизилась до 61,6% против 64% в 2007 г., хотя это чуть выше, чем в период 2009-2012 гг.</w:t>
      </w:r>
    </w:p>
    <w:p w:rsidR="00A44E5D" w:rsidRPr="000F4260" w:rsidRDefault="00A44E5D" w:rsidP="000F4260">
      <w:pPr>
        <w:pStyle w:val="1"/>
        <w:rPr>
          <w:rFonts w:ascii="Times New Roman" w:hAnsi="Times New Roman" w:cs="Times New Roman"/>
          <w:i/>
          <w:color w:val="1F497D" w:themeColor="text2"/>
          <w:sz w:val="26"/>
          <w:szCs w:val="26"/>
        </w:rPr>
      </w:pPr>
      <w:bookmarkStart w:id="219" w:name="_Toc430150464"/>
      <w:bookmarkStart w:id="220" w:name="_Toc431474335"/>
      <w:r w:rsidRPr="000F4260">
        <w:rPr>
          <w:rFonts w:ascii="Times New Roman" w:hAnsi="Times New Roman" w:cs="Times New Roman"/>
          <w:i/>
          <w:color w:val="1F497D" w:themeColor="text2"/>
          <w:sz w:val="26"/>
          <w:szCs w:val="26"/>
        </w:rPr>
        <w:t>Соотношение прироста мировой добычи газа к приросту мирового экспорта газа</w:t>
      </w:r>
      <w:bookmarkEnd w:id="219"/>
      <w:bookmarkEnd w:id="220"/>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Согласно данным BP, на мировом газовом рынке сохраняется многолетняя тенденция избыточности предложения, что в 2014 г. нашло свое отражение в снижении международной торговли газом после ее затяжной стагнации. При росте поставок СПГ на 8 </w:t>
      </w:r>
      <w:proofErr w:type="gramStart"/>
      <w:r w:rsidRPr="001B5624">
        <w:rPr>
          <w:rFonts w:ascii="Times New Roman" w:hAnsi="Times New Roman" w:cs="Times New Roman"/>
          <w:sz w:val="26"/>
          <w:szCs w:val="26"/>
        </w:rPr>
        <w:t>млрд</w:t>
      </w:r>
      <w:proofErr w:type="gramEnd"/>
      <w:r w:rsidRPr="001B5624">
        <w:rPr>
          <w:rFonts w:ascii="Times New Roman" w:hAnsi="Times New Roman" w:cs="Times New Roman"/>
          <w:sz w:val="26"/>
          <w:szCs w:val="26"/>
        </w:rPr>
        <w:t xml:space="preserve"> м</w:t>
      </w:r>
      <w:r w:rsidRPr="001B5624">
        <w:rPr>
          <w:rFonts w:ascii="Times New Roman" w:hAnsi="Times New Roman" w:cs="Times New Roman"/>
          <w:sz w:val="26"/>
          <w:szCs w:val="26"/>
          <w:vertAlign w:val="superscript"/>
        </w:rPr>
        <w:t>3</w:t>
      </w:r>
      <w:r w:rsidRPr="001B5624">
        <w:rPr>
          <w:rFonts w:ascii="Times New Roman" w:hAnsi="Times New Roman" w:cs="Times New Roman"/>
          <w:sz w:val="26"/>
          <w:szCs w:val="26"/>
        </w:rPr>
        <w:t xml:space="preserve"> в год трубопроводные поставки снизились в 2014 г. на 43,6 млрд м</w:t>
      </w:r>
      <w:r w:rsidRPr="001B5624">
        <w:rPr>
          <w:rFonts w:ascii="Times New Roman" w:hAnsi="Times New Roman" w:cs="Times New Roman"/>
          <w:sz w:val="26"/>
          <w:szCs w:val="26"/>
          <w:vertAlign w:val="superscript"/>
        </w:rPr>
        <w:t>3</w:t>
      </w:r>
      <w:r w:rsidRPr="001B5624">
        <w:rPr>
          <w:rFonts w:ascii="Times New Roman" w:hAnsi="Times New Roman" w:cs="Times New Roman"/>
          <w:sz w:val="26"/>
          <w:szCs w:val="26"/>
        </w:rPr>
        <w:t xml:space="preserve">. Общее снижение международной торговли газом в 2014 г. составило 3,5%, что лишь немногим выше уровня 2010 г. Таким образом, для рынка газа еще в большей степени, чем для рынка нефти, характерно смещение нового предложения в традиционные страны-импортеры, что приводит к стагнации международной торговли. Доля </w:t>
      </w:r>
      <w:proofErr w:type="gramStart"/>
      <w:r w:rsidRPr="001B5624">
        <w:rPr>
          <w:rFonts w:ascii="Times New Roman" w:hAnsi="Times New Roman" w:cs="Times New Roman"/>
          <w:sz w:val="26"/>
          <w:szCs w:val="26"/>
        </w:rPr>
        <w:t>последней</w:t>
      </w:r>
      <w:proofErr w:type="gramEnd"/>
      <w:r w:rsidRPr="001B5624">
        <w:rPr>
          <w:rFonts w:ascii="Times New Roman" w:hAnsi="Times New Roman" w:cs="Times New Roman"/>
          <w:sz w:val="26"/>
          <w:szCs w:val="26"/>
        </w:rPr>
        <w:t xml:space="preserve"> в мировом потреблении газа в 2014 г. сократилась до 29,4% против 30,9% в 2010 году.</w:t>
      </w:r>
    </w:p>
    <w:p w:rsidR="00A44E5D" w:rsidRPr="006630CA" w:rsidRDefault="00A44E5D" w:rsidP="006630CA">
      <w:pPr>
        <w:pStyle w:val="1"/>
        <w:rPr>
          <w:rFonts w:ascii="Times New Roman" w:hAnsi="Times New Roman" w:cs="Times New Roman"/>
          <w:color w:val="1F497D" w:themeColor="text2"/>
        </w:rPr>
      </w:pPr>
      <w:bookmarkStart w:id="221" w:name="_Toc430150465"/>
      <w:bookmarkStart w:id="222" w:name="_Toc431474336"/>
      <w:r w:rsidRPr="006630CA">
        <w:rPr>
          <w:rFonts w:ascii="Times New Roman" w:hAnsi="Times New Roman" w:cs="Times New Roman"/>
          <w:color w:val="1F497D" w:themeColor="text2"/>
        </w:rPr>
        <w:t>Динамика мировых капитальных вложений в добычу нефти и газа</w:t>
      </w:r>
      <w:bookmarkEnd w:id="221"/>
      <w:bookmarkEnd w:id="222"/>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Интересно отметить, что еще до начала действия эффекта снижения цен нефть мировые доказанные запасы нефти уменьшились в 2014 г., по данным BP, на 0,05% до 239,8 </w:t>
      </w:r>
      <w:proofErr w:type="gramStart"/>
      <w:r w:rsidRPr="001B5624">
        <w:rPr>
          <w:rFonts w:ascii="Times New Roman" w:hAnsi="Times New Roman" w:cs="Times New Roman"/>
          <w:sz w:val="26"/>
          <w:szCs w:val="26"/>
        </w:rPr>
        <w:t>млрд</w:t>
      </w:r>
      <w:proofErr w:type="gramEnd"/>
      <w:r w:rsidRPr="001B5624">
        <w:rPr>
          <w:rFonts w:ascii="Times New Roman" w:hAnsi="Times New Roman" w:cs="Times New Roman"/>
          <w:sz w:val="26"/>
          <w:szCs w:val="26"/>
        </w:rPr>
        <w:t xml:space="preserve"> т. Это второй случай снижения мировых запасов нефти год к году,  наблюдаемых BP начиная с 1980 г. Предыдущий имел место в 1998 г. (-1,7%). Доказанные запасы природного газа в 2014 г. увеличились, исходя из данных BP, лишь на 0,31% до 187,1 </w:t>
      </w:r>
      <w:proofErr w:type="gramStart"/>
      <w:r w:rsidRPr="001B5624">
        <w:rPr>
          <w:rFonts w:ascii="Times New Roman" w:hAnsi="Times New Roman" w:cs="Times New Roman"/>
          <w:sz w:val="26"/>
          <w:szCs w:val="26"/>
        </w:rPr>
        <w:t>трлн</w:t>
      </w:r>
      <w:proofErr w:type="gramEnd"/>
      <w:r w:rsidRPr="001B5624">
        <w:rPr>
          <w:rFonts w:ascii="Times New Roman" w:hAnsi="Times New Roman" w:cs="Times New Roman"/>
          <w:sz w:val="26"/>
          <w:szCs w:val="26"/>
        </w:rPr>
        <w:t xml:space="preserve"> м</w:t>
      </w:r>
      <w:r w:rsidRPr="001B5624">
        <w:rPr>
          <w:rFonts w:ascii="Times New Roman" w:hAnsi="Times New Roman" w:cs="Times New Roman"/>
          <w:sz w:val="26"/>
          <w:szCs w:val="26"/>
          <w:vertAlign w:val="superscript"/>
        </w:rPr>
        <w:t>3</w:t>
      </w:r>
      <w:r w:rsidRPr="001B5624">
        <w:rPr>
          <w:rFonts w:ascii="Times New Roman" w:hAnsi="Times New Roman" w:cs="Times New Roman"/>
          <w:sz w:val="26"/>
          <w:szCs w:val="26"/>
        </w:rPr>
        <w:t>. В целом по темпам изменения мировых доказанных запасов углеводородов в 2013-2014 гг. наблюдается худшая динамика за всю изученную BP ретроспективу (с 1980 г.), близкую к стагнации уровня мировых запасов в</w:t>
      </w:r>
      <w:r>
        <w:rPr>
          <w:rFonts w:ascii="Times New Roman" w:hAnsi="Times New Roman" w:cs="Times New Roman"/>
          <w:sz w:val="26"/>
          <w:szCs w:val="26"/>
        </w:rPr>
        <w:t xml:space="preserve"> </w:t>
      </w:r>
      <w:r w:rsidRPr="001B5624">
        <w:rPr>
          <w:rFonts w:ascii="Times New Roman" w:hAnsi="Times New Roman" w:cs="Times New Roman"/>
          <w:sz w:val="26"/>
          <w:szCs w:val="26"/>
        </w:rPr>
        <w:t>2003-2006 гг.</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Это может свидетельствовать о разбалансированной структуре инвестиций в нефтяную отрасль в предшествующие годы, когда интерес к росту добычи (в </w:t>
      </w:r>
      <w:proofErr w:type="spellStart"/>
      <w:r w:rsidRPr="001B5624">
        <w:rPr>
          <w:rFonts w:ascii="Times New Roman" w:hAnsi="Times New Roman" w:cs="Times New Roman"/>
          <w:sz w:val="26"/>
          <w:szCs w:val="26"/>
        </w:rPr>
        <w:t>т.ч</w:t>
      </w:r>
      <w:proofErr w:type="spellEnd"/>
      <w:r w:rsidRPr="001B5624">
        <w:rPr>
          <w:rFonts w:ascii="Times New Roman" w:hAnsi="Times New Roman" w:cs="Times New Roman"/>
          <w:sz w:val="26"/>
          <w:szCs w:val="26"/>
        </w:rPr>
        <w:t>. в США и России) преобладал над ВМСБ. Такая инвестиционная политика предшествующих лет позволит поддержать инерцию роста добычи в условиях относительно низких цен на нефть в 2015-2017 гг., однако создает негативный фон для долгосрочного развития предложения нефти.</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lastRenderedPageBreak/>
        <w:t>В условиях резкого снижения цен на мировом рынке нефти происходит масштабное снижение инвестиций нефтяных компаний. При этом под угрозой оказались наиболее высокотехнологичные проекты по добыче нефти в США (</w:t>
      </w:r>
      <w:proofErr w:type="spellStart"/>
      <w:r w:rsidRPr="001B5624">
        <w:rPr>
          <w:rFonts w:ascii="Times New Roman" w:hAnsi="Times New Roman" w:cs="Times New Roman"/>
          <w:sz w:val="26"/>
          <w:szCs w:val="26"/>
        </w:rPr>
        <w:t>трудноизвлекаемая</w:t>
      </w:r>
      <w:proofErr w:type="spellEnd"/>
      <w:r w:rsidRPr="001B5624">
        <w:rPr>
          <w:rFonts w:ascii="Times New Roman" w:hAnsi="Times New Roman" w:cs="Times New Roman"/>
          <w:sz w:val="26"/>
          <w:szCs w:val="26"/>
        </w:rPr>
        <w:t xml:space="preserve"> нефть), Канаде (битумы), Южной Америке (глубоководная добыча), шельфе северных морей, которые должны были обеспечить более половины прироста мировой добычи к 2030 году. Глубина падения инвестиций в отрасль в 2015-2016 гг. может оказаться выше, чем в кризис 2008-2009 гг., и, существенно не отразившись на мировой добыче в ближайшие годы (с учетом использования свободных мощностей Ирана в размере 0,75 </w:t>
      </w:r>
      <w:proofErr w:type="gramStart"/>
      <w:r w:rsidRPr="001B5624">
        <w:rPr>
          <w:rFonts w:ascii="Times New Roman" w:hAnsi="Times New Roman" w:cs="Times New Roman"/>
          <w:sz w:val="26"/>
          <w:szCs w:val="26"/>
        </w:rPr>
        <w:t>млн</w:t>
      </w:r>
      <w:proofErr w:type="gramEnd"/>
      <w:r w:rsidRPr="001B5624">
        <w:rPr>
          <w:rFonts w:ascii="Times New Roman" w:hAnsi="Times New Roman" w:cs="Times New Roman"/>
          <w:sz w:val="26"/>
          <w:szCs w:val="26"/>
        </w:rPr>
        <w:t xml:space="preserve"> </w:t>
      </w:r>
      <w:proofErr w:type="spellStart"/>
      <w:r w:rsidRPr="001B5624">
        <w:rPr>
          <w:rFonts w:ascii="Times New Roman" w:hAnsi="Times New Roman" w:cs="Times New Roman"/>
          <w:sz w:val="26"/>
          <w:szCs w:val="26"/>
        </w:rPr>
        <w:t>барр</w:t>
      </w:r>
      <w:proofErr w:type="spellEnd"/>
      <w:r w:rsidRPr="001B5624">
        <w:rPr>
          <w:rFonts w:ascii="Times New Roman" w:hAnsi="Times New Roman" w:cs="Times New Roman"/>
          <w:sz w:val="26"/>
          <w:szCs w:val="26"/>
        </w:rPr>
        <w:t xml:space="preserve">. в сутки), будет иметь серьезные долгосрочные последствия через «замораживание» или перенос сроков реализации новых добычных проектов, которые должны были обеспечивать стабильность нефтедобычи после 2020 года. </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На текущий момент международные нефтяные компании озвучили планы по снижению капиталовложений  в 2015 г. на 65 </w:t>
      </w:r>
      <w:proofErr w:type="gramStart"/>
      <w:r w:rsidRPr="001B5624">
        <w:rPr>
          <w:rFonts w:ascii="Times New Roman" w:hAnsi="Times New Roman" w:cs="Times New Roman"/>
          <w:sz w:val="26"/>
          <w:szCs w:val="26"/>
        </w:rPr>
        <w:t>млрд</w:t>
      </w:r>
      <w:proofErr w:type="gramEnd"/>
      <w:r w:rsidRPr="001B5624">
        <w:rPr>
          <w:rFonts w:ascii="Times New Roman" w:hAnsi="Times New Roman" w:cs="Times New Roman"/>
          <w:sz w:val="26"/>
          <w:szCs w:val="26"/>
        </w:rPr>
        <w:t xml:space="preserve"> </w:t>
      </w:r>
      <w:proofErr w:type="spellStart"/>
      <w:r w:rsidRPr="001B5624">
        <w:rPr>
          <w:rFonts w:ascii="Times New Roman" w:hAnsi="Times New Roman" w:cs="Times New Roman"/>
          <w:sz w:val="26"/>
          <w:szCs w:val="26"/>
        </w:rPr>
        <w:t>долл</w:t>
      </w:r>
      <w:proofErr w:type="spellEnd"/>
      <w:r w:rsidRPr="001B5624">
        <w:rPr>
          <w:rFonts w:ascii="Times New Roman" w:hAnsi="Times New Roman" w:cs="Times New Roman"/>
          <w:sz w:val="26"/>
          <w:szCs w:val="26"/>
        </w:rPr>
        <w:t xml:space="preserve"> (по отношению к бюджетам, утвержденным в 2014 г.). Лидеры снижения – </w:t>
      </w:r>
      <w:r w:rsidRPr="001B5624">
        <w:rPr>
          <w:rFonts w:ascii="Times New Roman" w:hAnsi="Times New Roman" w:cs="Times New Roman"/>
          <w:sz w:val="26"/>
          <w:szCs w:val="26"/>
          <w:lang w:val="en-US"/>
        </w:rPr>
        <w:t>ConocoPhillips</w:t>
      </w:r>
      <w:r w:rsidRPr="001B5624">
        <w:rPr>
          <w:rFonts w:ascii="Times New Roman" w:hAnsi="Times New Roman" w:cs="Times New Roman"/>
          <w:sz w:val="26"/>
          <w:szCs w:val="26"/>
        </w:rPr>
        <w:t xml:space="preserve"> (-31%), </w:t>
      </w:r>
      <w:r w:rsidRPr="001B5624">
        <w:rPr>
          <w:rFonts w:ascii="Times New Roman" w:hAnsi="Times New Roman" w:cs="Times New Roman"/>
          <w:sz w:val="26"/>
          <w:szCs w:val="26"/>
          <w:lang w:val="en-US"/>
        </w:rPr>
        <w:t>OMV</w:t>
      </w:r>
      <w:r w:rsidRPr="001B5624">
        <w:rPr>
          <w:rFonts w:ascii="Times New Roman" w:hAnsi="Times New Roman" w:cs="Times New Roman"/>
          <w:sz w:val="26"/>
          <w:szCs w:val="26"/>
        </w:rPr>
        <w:t xml:space="preserve"> (-29%) и </w:t>
      </w:r>
      <w:proofErr w:type="spellStart"/>
      <w:r w:rsidRPr="001B5624">
        <w:rPr>
          <w:rFonts w:ascii="Times New Roman" w:hAnsi="Times New Roman" w:cs="Times New Roman"/>
          <w:sz w:val="26"/>
          <w:szCs w:val="26"/>
          <w:lang w:val="en-US"/>
        </w:rPr>
        <w:t>Petrobras</w:t>
      </w:r>
      <w:proofErr w:type="spellEnd"/>
      <w:r w:rsidRPr="001B5624">
        <w:rPr>
          <w:rFonts w:ascii="Times New Roman" w:hAnsi="Times New Roman" w:cs="Times New Roman"/>
          <w:sz w:val="26"/>
          <w:szCs w:val="26"/>
        </w:rPr>
        <w:t xml:space="preserve"> (-27%). По оценкам </w:t>
      </w:r>
      <w:proofErr w:type="spellStart"/>
      <w:r w:rsidRPr="001B5624">
        <w:rPr>
          <w:rFonts w:ascii="Times New Roman" w:hAnsi="Times New Roman" w:cs="Times New Roman"/>
          <w:sz w:val="26"/>
          <w:szCs w:val="26"/>
        </w:rPr>
        <w:t>Wood</w:t>
      </w:r>
      <w:proofErr w:type="spellEnd"/>
      <w:r w:rsidRPr="001B5624">
        <w:rPr>
          <w:rFonts w:ascii="Times New Roman" w:hAnsi="Times New Roman" w:cs="Times New Roman"/>
          <w:sz w:val="26"/>
          <w:szCs w:val="26"/>
        </w:rPr>
        <w:t xml:space="preserve"> </w:t>
      </w:r>
      <w:proofErr w:type="spellStart"/>
      <w:r w:rsidRPr="001B5624">
        <w:rPr>
          <w:rFonts w:ascii="Times New Roman" w:hAnsi="Times New Roman" w:cs="Times New Roman"/>
          <w:sz w:val="26"/>
          <w:szCs w:val="26"/>
        </w:rPr>
        <w:t>Mackenzie</w:t>
      </w:r>
      <w:proofErr w:type="spellEnd"/>
      <w:r w:rsidRPr="001B5624">
        <w:rPr>
          <w:rFonts w:ascii="Times New Roman" w:hAnsi="Times New Roman" w:cs="Times New Roman"/>
          <w:sz w:val="26"/>
          <w:szCs w:val="26"/>
        </w:rPr>
        <w:t xml:space="preserve"> в 2015 г. объем капиталовложений в нефтяную отрасль может снизиться на 100 </w:t>
      </w:r>
      <w:proofErr w:type="gramStart"/>
      <w:r w:rsidRPr="001B5624">
        <w:rPr>
          <w:rFonts w:ascii="Times New Roman" w:hAnsi="Times New Roman" w:cs="Times New Roman"/>
          <w:sz w:val="26"/>
          <w:szCs w:val="26"/>
        </w:rPr>
        <w:t>млрд</w:t>
      </w:r>
      <w:proofErr w:type="gramEnd"/>
      <w:r w:rsidRPr="001B5624">
        <w:rPr>
          <w:rFonts w:ascii="Times New Roman" w:hAnsi="Times New Roman" w:cs="Times New Roman"/>
          <w:sz w:val="26"/>
          <w:szCs w:val="26"/>
        </w:rPr>
        <w:t xml:space="preserve"> долл. Иными словами, падение нефтяных цен может привести к сокращению объема капиталовложений в 2015 г., по разным оценкам, от 9% до 30%, при том, что в кризисном 2009 г. капиталовложения упали на 15%.</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При этом, по оценке </w:t>
      </w:r>
      <w:proofErr w:type="spellStart"/>
      <w:r w:rsidRPr="001B5624">
        <w:rPr>
          <w:rFonts w:ascii="Times New Roman" w:hAnsi="Times New Roman" w:cs="Times New Roman"/>
          <w:sz w:val="26"/>
          <w:szCs w:val="26"/>
        </w:rPr>
        <w:t>Goldman</w:t>
      </w:r>
      <w:proofErr w:type="spellEnd"/>
      <w:r w:rsidRPr="001B5624">
        <w:rPr>
          <w:rFonts w:ascii="Times New Roman" w:hAnsi="Times New Roman" w:cs="Times New Roman"/>
          <w:sz w:val="26"/>
          <w:szCs w:val="26"/>
        </w:rPr>
        <w:t xml:space="preserve"> </w:t>
      </w:r>
      <w:proofErr w:type="spellStart"/>
      <w:r w:rsidRPr="001B5624">
        <w:rPr>
          <w:rFonts w:ascii="Times New Roman" w:hAnsi="Times New Roman" w:cs="Times New Roman"/>
          <w:sz w:val="26"/>
          <w:szCs w:val="26"/>
        </w:rPr>
        <w:t>Sachs</w:t>
      </w:r>
      <w:proofErr w:type="spellEnd"/>
      <w:r w:rsidRPr="001B5624">
        <w:rPr>
          <w:rFonts w:ascii="Times New Roman" w:hAnsi="Times New Roman" w:cs="Times New Roman"/>
          <w:sz w:val="26"/>
          <w:szCs w:val="26"/>
        </w:rPr>
        <w:t xml:space="preserve">, до 1 </w:t>
      </w:r>
      <w:proofErr w:type="gramStart"/>
      <w:r w:rsidRPr="001B5624">
        <w:rPr>
          <w:rFonts w:ascii="Times New Roman" w:hAnsi="Times New Roman" w:cs="Times New Roman"/>
          <w:sz w:val="26"/>
          <w:szCs w:val="26"/>
        </w:rPr>
        <w:t>трлн</w:t>
      </w:r>
      <w:proofErr w:type="gramEnd"/>
      <w:r w:rsidRPr="001B5624">
        <w:rPr>
          <w:rFonts w:ascii="Times New Roman" w:hAnsi="Times New Roman" w:cs="Times New Roman"/>
          <w:sz w:val="26"/>
          <w:szCs w:val="26"/>
        </w:rPr>
        <w:t xml:space="preserve"> долл. запланированных инвестиций в будущие добычные проекты (без учета сланцевых проектов в США) могут оказаться убыточными при цене нефти ниже 70 долл. за баррель.</w:t>
      </w:r>
    </w:p>
    <w:p w:rsidR="006630CA" w:rsidRPr="000F4260" w:rsidRDefault="00A44E5D" w:rsidP="000F4260">
      <w:pPr>
        <w:pStyle w:val="1"/>
        <w:jc w:val="both"/>
        <w:rPr>
          <w:rFonts w:ascii="Times New Roman" w:hAnsi="Times New Roman" w:cs="Times New Roman"/>
          <w:color w:val="1F497D" w:themeColor="text2"/>
        </w:rPr>
      </w:pPr>
      <w:bookmarkStart w:id="223" w:name="_Toc430150466"/>
      <w:bookmarkStart w:id="224" w:name="_Toc431474337"/>
      <w:r w:rsidRPr="006630CA">
        <w:rPr>
          <w:rFonts w:ascii="Times New Roman" w:hAnsi="Times New Roman" w:cs="Times New Roman"/>
          <w:color w:val="1F497D" w:themeColor="text2"/>
        </w:rPr>
        <w:t>Избыточное предложение и сокращение потребности в энергоресурсах</w:t>
      </w:r>
      <w:bookmarkEnd w:id="223"/>
      <w:bookmarkEnd w:id="224"/>
    </w:p>
    <w:p w:rsidR="00A44E5D" w:rsidRPr="000F4260" w:rsidRDefault="00A44E5D" w:rsidP="000F4260">
      <w:pPr>
        <w:pStyle w:val="1"/>
        <w:rPr>
          <w:rFonts w:ascii="Times New Roman" w:hAnsi="Times New Roman" w:cs="Times New Roman"/>
          <w:i/>
          <w:color w:val="1F497D" w:themeColor="text2"/>
          <w:sz w:val="26"/>
          <w:szCs w:val="26"/>
        </w:rPr>
      </w:pPr>
      <w:bookmarkStart w:id="225" w:name="_Toc430150467"/>
      <w:bookmarkStart w:id="226" w:name="_Toc431474338"/>
      <w:r w:rsidRPr="000F4260">
        <w:rPr>
          <w:rFonts w:ascii="Times New Roman" w:hAnsi="Times New Roman" w:cs="Times New Roman"/>
          <w:i/>
          <w:color w:val="1F497D" w:themeColor="text2"/>
          <w:sz w:val="26"/>
          <w:szCs w:val="26"/>
        </w:rPr>
        <w:t>Текущие изменения, происходящие в динамике мирового спроса на нефть</w:t>
      </w:r>
      <w:bookmarkEnd w:id="225"/>
      <w:bookmarkEnd w:id="226"/>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В 2014 г. впервые с 2006 г. BP зафиксировало незначительно превышение добычи нефти над потреблением. При этом, </w:t>
      </w:r>
      <w:proofErr w:type="gramStart"/>
      <w:r w:rsidRPr="001B5624">
        <w:rPr>
          <w:rFonts w:ascii="Times New Roman" w:hAnsi="Times New Roman" w:cs="Times New Roman"/>
          <w:sz w:val="26"/>
          <w:szCs w:val="26"/>
        </w:rPr>
        <w:t>ч</w:t>
      </w:r>
      <w:proofErr w:type="gramEnd"/>
      <w:r w:rsidRPr="001B5624">
        <w:rPr>
          <w:rFonts w:ascii="Times New Roman" w:hAnsi="Times New Roman" w:cs="Times New Roman"/>
          <w:sz w:val="26"/>
          <w:szCs w:val="26"/>
        </w:rPr>
        <w:t xml:space="preserve"> за прошедшие 50 лет, с 1965 г., обратная ситуация превышения потребления нефти над добычей отмечалась BP лишь 15 раз (для 1985, 1987, 1989, 1992, 1994-1995, 1999, 2002 и 2007-2013 гг.).</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Несмотря на снижение мировых цен на нефть, розничные цены на нефтепродукты для конечных потребителей во многих странах упали с октября 2014 г. по сентябрь 2015 г. не столь существенно. Вертикально-интегрированные компании стремятся компенсировать падение прибыли в сегменте </w:t>
      </w:r>
      <w:proofErr w:type="spellStart"/>
      <w:r w:rsidRPr="001B5624">
        <w:rPr>
          <w:rFonts w:ascii="Times New Roman" w:hAnsi="Times New Roman" w:cs="Times New Roman"/>
          <w:sz w:val="26"/>
          <w:szCs w:val="26"/>
        </w:rPr>
        <w:t>upstream</w:t>
      </w:r>
      <w:proofErr w:type="spellEnd"/>
      <w:r w:rsidRPr="001B5624">
        <w:rPr>
          <w:rFonts w:ascii="Times New Roman" w:hAnsi="Times New Roman" w:cs="Times New Roman"/>
          <w:sz w:val="26"/>
          <w:szCs w:val="26"/>
        </w:rPr>
        <w:t xml:space="preserve"> ее ростом в сегменте </w:t>
      </w:r>
      <w:proofErr w:type="spellStart"/>
      <w:r w:rsidRPr="001B5624">
        <w:rPr>
          <w:rFonts w:ascii="Times New Roman" w:hAnsi="Times New Roman" w:cs="Times New Roman"/>
          <w:sz w:val="26"/>
          <w:szCs w:val="26"/>
        </w:rPr>
        <w:t>downstream</w:t>
      </w:r>
      <w:proofErr w:type="spellEnd"/>
      <w:r w:rsidRPr="001B5624">
        <w:rPr>
          <w:rFonts w:ascii="Times New Roman" w:hAnsi="Times New Roman" w:cs="Times New Roman"/>
          <w:sz w:val="26"/>
          <w:szCs w:val="26"/>
        </w:rPr>
        <w:t>.</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Также в ряде развивающихся стран потребление нефтепродуктов субсидировалось государством, которое в условиях снижения цен на нефть сократило объемы субсидий, что не позволило ценам серьезно упасть. В отдельных развивающихся странах, включая страны СНГ, поддержанию высоких розничных цен способствовала девальвация национальных валют. </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В целом снижение цен привело к тому, что ведущие энергетические агентства в настоящее время ожидают ускорения потребления жидких углеводородов в 2015-2016 </w:t>
      </w:r>
      <w:r w:rsidRPr="001B5624">
        <w:rPr>
          <w:rFonts w:ascii="Times New Roman" w:hAnsi="Times New Roman" w:cs="Times New Roman"/>
          <w:sz w:val="26"/>
          <w:szCs w:val="26"/>
        </w:rPr>
        <w:lastRenderedPageBreak/>
        <w:t xml:space="preserve">гг. Если в 2014 г., по оценке МЭА, их потребление выросло на 0,7 </w:t>
      </w:r>
      <w:proofErr w:type="gramStart"/>
      <w:r w:rsidRPr="001B5624">
        <w:rPr>
          <w:rFonts w:ascii="Times New Roman" w:hAnsi="Times New Roman" w:cs="Times New Roman"/>
          <w:sz w:val="26"/>
          <w:szCs w:val="26"/>
        </w:rPr>
        <w:t>млн</w:t>
      </w:r>
      <w:proofErr w:type="gramEnd"/>
      <w:r w:rsidRPr="001B5624">
        <w:rPr>
          <w:rFonts w:ascii="Times New Roman" w:hAnsi="Times New Roman" w:cs="Times New Roman"/>
          <w:sz w:val="26"/>
          <w:szCs w:val="26"/>
        </w:rPr>
        <w:t xml:space="preserve"> </w:t>
      </w:r>
      <w:proofErr w:type="spellStart"/>
      <w:r w:rsidRPr="001B5624">
        <w:rPr>
          <w:rFonts w:ascii="Times New Roman" w:hAnsi="Times New Roman" w:cs="Times New Roman"/>
          <w:sz w:val="26"/>
          <w:szCs w:val="26"/>
        </w:rPr>
        <w:t>барр</w:t>
      </w:r>
      <w:proofErr w:type="spellEnd"/>
      <w:r w:rsidRPr="001B5624">
        <w:rPr>
          <w:rFonts w:ascii="Times New Roman" w:hAnsi="Times New Roman" w:cs="Times New Roman"/>
          <w:sz w:val="26"/>
          <w:szCs w:val="26"/>
        </w:rPr>
        <w:t>./</w:t>
      </w:r>
      <w:proofErr w:type="spellStart"/>
      <w:r w:rsidRPr="001B5624">
        <w:rPr>
          <w:rFonts w:ascii="Times New Roman" w:hAnsi="Times New Roman" w:cs="Times New Roman"/>
          <w:sz w:val="26"/>
          <w:szCs w:val="26"/>
        </w:rPr>
        <w:t>сут</w:t>
      </w:r>
      <w:proofErr w:type="spellEnd"/>
      <w:r w:rsidRPr="001B5624">
        <w:rPr>
          <w:rFonts w:ascii="Times New Roman" w:hAnsi="Times New Roman" w:cs="Times New Roman"/>
          <w:sz w:val="26"/>
          <w:szCs w:val="26"/>
        </w:rPr>
        <w:t xml:space="preserve">., то в 2015 г. ожидается рост на уровне 1,4 млн </w:t>
      </w:r>
      <w:proofErr w:type="spellStart"/>
      <w:r w:rsidRPr="001B5624">
        <w:rPr>
          <w:rFonts w:ascii="Times New Roman" w:hAnsi="Times New Roman" w:cs="Times New Roman"/>
          <w:sz w:val="26"/>
          <w:szCs w:val="26"/>
        </w:rPr>
        <w:t>барр</w:t>
      </w:r>
      <w:proofErr w:type="spellEnd"/>
      <w:r w:rsidRPr="001B5624">
        <w:rPr>
          <w:rFonts w:ascii="Times New Roman" w:hAnsi="Times New Roman" w:cs="Times New Roman"/>
          <w:sz w:val="26"/>
          <w:szCs w:val="26"/>
        </w:rPr>
        <w:t>./</w:t>
      </w:r>
      <w:proofErr w:type="spellStart"/>
      <w:r w:rsidRPr="001B5624">
        <w:rPr>
          <w:rFonts w:ascii="Times New Roman" w:hAnsi="Times New Roman" w:cs="Times New Roman"/>
          <w:sz w:val="26"/>
          <w:szCs w:val="26"/>
        </w:rPr>
        <w:t>сут</w:t>
      </w:r>
      <w:proofErr w:type="spellEnd"/>
      <w:r w:rsidRPr="001B5624">
        <w:rPr>
          <w:rFonts w:ascii="Times New Roman" w:hAnsi="Times New Roman" w:cs="Times New Roman"/>
          <w:sz w:val="26"/>
          <w:szCs w:val="26"/>
        </w:rPr>
        <w:t xml:space="preserve">., а в 2016 г. – на уровне 1,2 млн </w:t>
      </w:r>
      <w:proofErr w:type="spellStart"/>
      <w:r w:rsidRPr="001B5624">
        <w:rPr>
          <w:rFonts w:ascii="Times New Roman" w:hAnsi="Times New Roman" w:cs="Times New Roman"/>
          <w:sz w:val="26"/>
          <w:szCs w:val="26"/>
        </w:rPr>
        <w:t>барр</w:t>
      </w:r>
      <w:proofErr w:type="spellEnd"/>
      <w:r w:rsidRPr="001B5624">
        <w:rPr>
          <w:rFonts w:ascii="Times New Roman" w:hAnsi="Times New Roman" w:cs="Times New Roman"/>
          <w:sz w:val="26"/>
          <w:szCs w:val="26"/>
        </w:rPr>
        <w:t>./</w:t>
      </w:r>
      <w:proofErr w:type="spellStart"/>
      <w:r w:rsidRPr="001B5624">
        <w:rPr>
          <w:rFonts w:ascii="Times New Roman" w:hAnsi="Times New Roman" w:cs="Times New Roman"/>
          <w:sz w:val="26"/>
          <w:szCs w:val="26"/>
        </w:rPr>
        <w:t>сут</w:t>
      </w:r>
      <w:proofErr w:type="spellEnd"/>
      <w:r w:rsidRPr="001B5624">
        <w:rPr>
          <w:rFonts w:ascii="Times New Roman" w:hAnsi="Times New Roman" w:cs="Times New Roman"/>
          <w:sz w:val="26"/>
          <w:szCs w:val="26"/>
        </w:rPr>
        <w:t>.</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Наиболее интересно, что, вопреки многолетней тенденции, в первой половине 2015 г. развитые страны также увеличили потребление жидких углеводородов. По оценке EIA, этот рост составил 0,6 </w:t>
      </w:r>
      <w:proofErr w:type="gramStart"/>
      <w:r w:rsidRPr="001B5624">
        <w:rPr>
          <w:rFonts w:ascii="Times New Roman" w:hAnsi="Times New Roman" w:cs="Times New Roman"/>
          <w:sz w:val="26"/>
          <w:szCs w:val="26"/>
        </w:rPr>
        <w:t>млн</w:t>
      </w:r>
      <w:proofErr w:type="gramEnd"/>
      <w:r w:rsidRPr="001B5624">
        <w:rPr>
          <w:rFonts w:ascii="Times New Roman" w:hAnsi="Times New Roman" w:cs="Times New Roman"/>
          <w:sz w:val="26"/>
          <w:szCs w:val="26"/>
        </w:rPr>
        <w:t xml:space="preserve"> </w:t>
      </w:r>
      <w:proofErr w:type="spellStart"/>
      <w:r w:rsidRPr="001B5624">
        <w:rPr>
          <w:rFonts w:ascii="Times New Roman" w:hAnsi="Times New Roman" w:cs="Times New Roman"/>
          <w:sz w:val="26"/>
          <w:szCs w:val="26"/>
        </w:rPr>
        <w:t>барр</w:t>
      </w:r>
      <w:proofErr w:type="spellEnd"/>
      <w:r w:rsidRPr="001B5624">
        <w:rPr>
          <w:rFonts w:ascii="Times New Roman" w:hAnsi="Times New Roman" w:cs="Times New Roman"/>
          <w:sz w:val="26"/>
          <w:szCs w:val="26"/>
        </w:rPr>
        <w:t>./</w:t>
      </w:r>
      <w:proofErr w:type="spellStart"/>
      <w:r w:rsidRPr="001B5624">
        <w:rPr>
          <w:rFonts w:ascii="Times New Roman" w:hAnsi="Times New Roman" w:cs="Times New Roman"/>
          <w:sz w:val="26"/>
          <w:szCs w:val="26"/>
        </w:rPr>
        <w:t>сут</w:t>
      </w:r>
      <w:proofErr w:type="spellEnd"/>
      <w:r w:rsidRPr="001B5624">
        <w:rPr>
          <w:rFonts w:ascii="Times New Roman" w:hAnsi="Times New Roman" w:cs="Times New Roman"/>
          <w:sz w:val="26"/>
          <w:szCs w:val="26"/>
        </w:rPr>
        <w:t xml:space="preserve"> к аналогичному периоду 2014 г.</w:t>
      </w:r>
    </w:p>
    <w:p w:rsidR="00A44E5D" w:rsidRPr="001B5624" w:rsidRDefault="00A44E5D" w:rsidP="006630CA">
      <w:pPr>
        <w:spacing w:line="240" w:lineRule="auto"/>
        <w:ind w:firstLine="709"/>
        <w:jc w:val="both"/>
        <w:rPr>
          <w:rFonts w:ascii="Times New Roman" w:hAnsi="Times New Roman" w:cs="Times New Roman"/>
          <w:sz w:val="26"/>
          <w:szCs w:val="26"/>
        </w:rPr>
      </w:pPr>
      <w:proofErr w:type="gramStart"/>
      <w:r w:rsidRPr="001B5624">
        <w:rPr>
          <w:rFonts w:ascii="Times New Roman" w:hAnsi="Times New Roman" w:cs="Times New Roman"/>
          <w:sz w:val="26"/>
          <w:szCs w:val="26"/>
        </w:rPr>
        <w:t>Потребление жидких углеводородов в ЕС снижалось, начиная с 2008–2009 гг. и после некоторого восстановления в 2010 г. продолжило снижение вплоть до конца 2014 г. Однако в первом полугодии 2015 г. наблюдался всплеск потребления, которое выросло примерно на 2,4% к 2014 г. Данный рост был обеспечен в первую очередь ростом потребления дизельного топлива, которое занимает 42-44% в потребляемой корзине нефтепродуктов ЕС</w:t>
      </w:r>
      <w:proofErr w:type="gramEnd"/>
      <w:r w:rsidRPr="001B5624">
        <w:rPr>
          <w:rFonts w:ascii="Times New Roman" w:hAnsi="Times New Roman" w:cs="Times New Roman"/>
          <w:sz w:val="26"/>
          <w:szCs w:val="26"/>
        </w:rPr>
        <w:t xml:space="preserve">. Также наблюдались положительные темпы роста и для остальных нефтепродуктов, кроме мазута. </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Но следует отметить, что ведущие мировые агентства ожидают, что данный всплеск не изменит долгосрочную тенденцию на снижение потребления нефтепродуктов в Европе. К тому же уже во </w:t>
      </w:r>
      <w:r w:rsidRPr="001B5624">
        <w:rPr>
          <w:rFonts w:ascii="Times New Roman" w:hAnsi="Times New Roman" w:cs="Times New Roman"/>
          <w:sz w:val="26"/>
          <w:szCs w:val="26"/>
          <w:lang w:val="en-US"/>
        </w:rPr>
        <w:t>II</w:t>
      </w:r>
      <w:r w:rsidRPr="001B5624">
        <w:rPr>
          <w:rFonts w:ascii="Times New Roman" w:hAnsi="Times New Roman" w:cs="Times New Roman"/>
          <w:sz w:val="26"/>
          <w:szCs w:val="26"/>
        </w:rPr>
        <w:t xml:space="preserve"> квартале 2015 г. можно увидеть определенное снижение темпов роста спроса на жидкие углеводороды в ЕС после февральского пика потребления.</w:t>
      </w:r>
    </w:p>
    <w:p w:rsidR="00A44E5D" w:rsidRPr="001B5624" w:rsidRDefault="00A44E5D" w:rsidP="006630CA">
      <w:pPr>
        <w:spacing w:line="240" w:lineRule="auto"/>
        <w:ind w:firstLine="709"/>
        <w:jc w:val="both"/>
        <w:rPr>
          <w:rFonts w:ascii="Times New Roman" w:hAnsi="Times New Roman" w:cs="Times New Roman"/>
          <w:sz w:val="26"/>
          <w:szCs w:val="26"/>
        </w:rPr>
      </w:pPr>
      <w:proofErr w:type="gramStart"/>
      <w:r w:rsidRPr="001B5624">
        <w:rPr>
          <w:rFonts w:ascii="Times New Roman" w:hAnsi="Times New Roman" w:cs="Times New Roman"/>
          <w:sz w:val="26"/>
          <w:szCs w:val="26"/>
        </w:rPr>
        <w:t>В США в первом полугодии 2015 г. также наблюдается определенное ускорение спроса на нефтепродукты до 2,8% к аналогичному периоду 2014 г. В январе-июне 2015 г. средний уровень потребления бензина в США был выше аналогичного периода прошлого года на 3,1%, при том, что в 2014 г. этот темп прироста составлял всего 0,5%. Для дизельного топлива, напротив, наблюдается замедление темпов роста.</w:t>
      </w:r>
      <w:proofErr w:type="gramEnd"/>
      <w:r w:rsidRPr="001B5624">
        <w:rPr>
          <w:rFonts w:ascii="Times New Roman" w:hAnsi="Times New Roman" w:cs="Times New Roman"/>
          <w:sz w:val="26"/>
          <w:szCs w:val="26"/>
        </w:rPr>
        <w:t xml:space="preserve"> В январе-июне 2015 г. потребление дизельного топлива выросло всего на 1,9% к аналогичному периоду 2014 г., в январе-июне 2014 г. темп прироста составлял 5,2%.</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В Японии отрицательные темпы роста потребления жидких углеводородов начали наблюдаться с середины 2012 г., и снижение потребления наблюдается и в настоящее время. Динамика потребления большинства нефтепродуктов также остается в отрицательной плоскости. Спрос на дизельное топливо, который рос до середины 2014 г., в настоящее время снижается. </w:t>
      </w:r>
      <w:proofErr w:type="gramStart"/>
      <w:r w:rsidRPr="001B5624">
        <w:rPr>
          <w:rFonts w:ascii="Times New Roman" w:hAnsi="Times New Roman" w:cs="Times New Roman"/>
          <w:sz w:val="26"/>
          <w:szCs w:val="26"/>
        </w:rPr>
        <w:t xml:space="preserve">Потребление бензина, керосина и СУГ последовательно снижалось в 2014 – 2015 гг. Хотя, необходимо отметить, что с середины 2014 г. падение потребления замедлилось, и в мае 2015 г. оно составило всего -0,8% к аналогичному периоду 2014 г., главным образом за счет роста спроса на мазут и </w:t>
      </w:r>
      <w:proofErr w:type="spellStart"/>
      <w:r w:rsidRPr="001B5624">
        <w:rPr>
          <w:rFonts w:ascii="Times New Roman" w:hAnsi="Times New Roman" w:cs="Times New Roman"/>
          <w:sz w:val="26"/>
          <w:szCs w:val="26"/>
        </w:rPr>
        <w:t>нафту</w:t>
      </w:r>
      <w:proofErr w:type="spellEnd"/>
      <w:r w:rsidRPr="001B5624">
        <w:rPr>
          <w:rFonts w:ascii="Times New Roman" w:hAnsi="Times New Roman" w:cs="Times New Roman"/>
          <w:sz w:val="26"/>
          <w:szCs w:val="26"/>
        </w:rPr>
        <w:t>, который наблюдался впервые с середины 2012 г.</w:t>
      </w:r>
      <w:proofErr w:type="gramEnd"/>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Основными драйверами мирового роста потребления жидких углеводородов остаются КНР и Индия. Спрос на бензин и дизельное топливо в обеих странах оказался чувствительным к благоприятной ценовой конъюнктуре. Причем КНР в условиях низких цен на нефть значительно увеличил спрос на топливо, даже с учетом замедления темпов роста экономики. В первом полугодии 2015 г. потребление жидких углеводородов в КНР составило 209,9 </w:t>
      </w:r>
      <w:proofErr w:type="gramStart"/>
      <w:r w:rsidRPr="001B5624">
        <w:rPr>
          <w:rFonts w:ascii="Times New Roman" w:hAnsi="Times New Roman" w:cs="Times New Roman"/>
          <w:sz w:val="26"/>
          <w:szCs w:val="26"/>
        </w:rPr>
        <w:t>млн</w:t>
      </w:r>
      <w:proofErr w:type="gramEnd"/>
      <w:r w:rsidRPr="001B5624">
        <w:rPr>
          <w:rFonts w:ascii="Times New Roman" w:hAnsi="Times New Roman" w:cs="Times New Roman"/>
          <w:sz w:val="26"/>
          <w:szCs w:val="26"/>
        </w:rPr>
        <w:t xml:space="preserve"> т (+7,6% к аналогичному периоду 2014 г.). Данный темп роста значительно выше темпа роста 2014 г. (2,1%). Ускорение потребления в 2015 г. наблюдается для дизельного топлива, керосина и СУГ. Потребление дизельного топлива в КНР (43% от общего потребления </w:t>
      </w:r>
      <w:r w:rsidRPr="001B5624">
        <w:rPr>
          <w:rFonts w:ascii="Times New Roman" w:hAnsi="Times New Roman" w:cs="Times New Roman"/>
          <w:sz w:val="26"/>
          <w:szCs w:val="26"/>
        </w:rPr>
        <w:lastRenderedPageBreak/>
        <w:t>нефтепродуктов) в 1 полугодии 2015 г. выросло до 5,9%, что является самым высоким показателем с 2010 г. Потребление СУГ и керосина в первом полугодии 2015 г. выросло на 22% и 18,2%, соответственно.</w:t>
      </w:r>
    </w:p>
    <w:p w:rsidR="00A44E5D" w:rsidRPr="001B5624" w:rsidRDefault="00A44E5D" w:rsidP="006630CA">
      <w:pPr>
        <w:spacing w:line="240" w:lineRule="auto"/>
        <w:ind w:firstLine="709"/>
        <w:jc w:val="both"/>
        <w:rPr>
          <w:rFonts w:ascii="Times New Roman" w:hAnsi="Times New Roman" w:cs="Times New Roman"/>
          <w:sz w:val="26"/>
          <w:szCs w:val="26"/>
        </w:rPr>
      </w:pPr>
      <w:proofErr w:type="gramStart"/>
      <w:r w:rsidRPr="001B5624">
        <w:rPr>
          <w:rFonts w:ascii="Times New Roman" w:hAnsi="Times New Roman" w:cs="Times New Roman"/>
          <w:sz w:val="26"/>
          <w:szCs w:val="26"/>
        </w:rPr>
        <w:t xml:space="preserve">В Индии, по данным, опубликованным в середине июля, в первом полугодии 2015 г. спрос на нефтепродукты заметно ускорился до +4,9% по сравнению с +2,8% в 2014 г. и +3,0% в 2013 г. Темпы роста потребления бензина в </w:t>
      </w:r>
      <w:r w:rsidRPr="001B5624">
        <w:rPr>
          <w:rFonts w:ascii="Times New Roman" w:hAnsi="Times New Roman" w:cs="Times New Roman"/>
          <w:sz w:val="26"/>
          <w:szCs w:val="26"/>
          <w:lang w:val="en-US"/>
        </w:rPr>
        <w:t>I</w:t>
      </w:r>
      <w:r w:rsidRPr="001B5624">
        <w:rPr>
          <w:rFonts w:ascii="Times New Roman" w:hAnsi="Times New Roman" w:cs="Times New Roman"/>
          <w:sz w:val="26"/>
          <w:szCs w:val="26"/>
        </w:rPr>
        <w:t xml:space="preserve"> полугодии 2015 г. достигли 14,1% по сравнению с +7,8% в 2014 г. и +9,2% в 2013 г. Также в </w:t>
      </w:r>
      <w:r w:rsidRPr="001B5624">
        <w:rPr>
          <w:rFonts w:ascii="Times New Roman" w:hAnsi="Times New Roman" w:cs="Times New Roman"/>
          <w:sz w:val="26"/>
          <w:szCs w:val="26"/>
          <w:lang w:val="en-US"/>
        </w:rPr>
        <w:t>I</w:t>
      </w:r>
      <w:r w:rsidRPr="001B5624">
        <w:rPr>
          <w:rFonts w:ascii="Times New Roman" w:hAnsi="Times New Roman" w:cs="Times New Roman"/>
          <w:sz w:val="26"/>
          <w:szCs w:val="26"/>
        </w:rPr>
        <w:t xml:space="preserve"> полугодии начал</w:t>
      </w:r>
      <w:proofErr w:type="gramEnd"/>
      <w:r w:rsidRPr="001B5624">
        <w:rPr>
          <w:rFonts w:ascii="Times New Roman" w:hAnsi="Times New Roman" w:cs="Times New Roman"/>
          <w:sz w:val="26"/>
          <w:szCs w:val="26"/>
        </w:rPr>
        <w:t xml:space="preserve"> расти спрос на мазут (+1,8%), что отличается от падающей тенденции последних семи лет. Темпы роста потребления дизельного топлива также находятся в положительной области с середины 2014 г., что изменило тенденцию снижения его потребления, которая наблюдалась с середины 2013 г.</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Таким образом, как для развитых, так и для развивающихся стран снижение цен на нефть и нефтепродукты, начиная с осени 2014 г., привело к ускорению потребления жидких углеводородов. При этом в Европе и Японии сохранятся долгосрочные тенденции на сокращение спроса на жидкие углеводороды, несмотря на текущее временное улучшение спроса. В США рост потребления, скорее всего, будет наблюдаться до конца 2016 г. В КНР и Индии темпы роста потребления вернулись на уровень 2012 г., но не превысили их.</w:t>
      </w:r>
    </w:p>
    <w:p w:rsidR="00A44E5D" w:rsidRPr="000F4260" w:rsidRDefault="00A44E5D" w:rsidP="000F4260">
      <w:pPr>
        <w:pStyle w:val="1"/>
        <w:rPr>
          <w:rFonts w:ascii="Times New Roman" w:hAnsi="Times New Roman" w:cs="Times New Roman"/>
          <w:i/>
          <w:color w:val="1F497D" w:themeColor="text2"/>
          <w:sz w:val="26"/>
          <w:szCs w:val="26"/>
        </w:rPr>
      </w:pPr>
      <w:bookmarkStart w:id="227" w:name="_Toc430150468"/>
      <w:bookmarkStart w:id="228" w:name="_Toc431474339"/>
      <w:r w:rsidRPr="000F4260">
        <w:rPr>
          <w:rFonts w:ascii="Times New Roman" w:hAnsi="Times New Roman" w:cs="Times New Roman"/>
          <w:i/>
          <w:color w:val="1F497D" w:themeColor="text2"/>
          <w:sz w:val="26"/>
          <w:szCs w:val="26"/>
        </w:rPr>
        <w:t>Текущие изменения, происходящие в динамике мирового спроса на газ</w:t>
      </w:r>
      <w:bookmarkEnd w:id="227"/>
      <w:bookmarkEnd w:id="228"/>
    </w:p>
    <w:p w:rsidR="00A44E5D" w:rsidRPr="001B5624" w:rsidRDefault="00A44E5D" w:rsidP="006630CA">
      <w:pPr>
        <w:spacing w:line="240" w:lineRule="auto"/>
        <w:ind w:firstLine="709"/>
        <w:jc w:val="both"/>
        <w:rPr>
          <w:rFonts w:ascii="Times New Roman" w:hAnsi="Times New Roman" w:cs="Times New Roman"/>
          <w:sz w:val="26"/>
          <w:szCs w:val="26"/>
        </w:rPr>
      </w:pPr>
      <w:proofErr w:type="gramStart"/>
      <w:r w:rsidRPr="001B5624">
        <w:rPr>
          <w:rFonts w:ascii="Times New Roman" w:hAnsi="Times New Roman" w:cs="Times New Roman"/>
          <w:sz w:val="26"/>
          <w:szCs w:val="26"/>
        </w:rPr>
        <w:t>Если пик мирового спроса на нефть, возможно, будет пройден к 2040 г., то достижение пика спроса на газ остается за горизонтом 2060-2070 гг. Среднегодовые темпы прироста спроса на газ в ближайшие 25 лет составят 1,6% вместо 0,6% для нефти.</w:t>
      </w:r>
      <w:proofErr w:type="gramEnd"/>
      <w:r w:rsidRPr="001B5624">
        <w:rPr>
          <w:rFonts w:ascii="Times New Roman" w:hAnsi="Times New Roman" w:cs="Times New Roman"/>
          <w:sz w:val="26"/>
          <w:szCs w:val="26"/>
        </w:rPr>
        <w:t xml:space="preserve"> Суммарный мировой спрос на газ к 2040 г. увеличится в 1,5 раза. Общий прирост мирового потребления газа к 2040 г. может составить около 2 </w:t>
      </w:r>
      <w:proofErr w:type="gramStart"/>
      <w:r w:rsidRPr="001B5624">
        <w:rPr>
          <w:rFonts w:ascii="Times New Roman" w:hAnsi="Times New Roman" w:cs="Times New Roman"/>
          <w:sz w:val="26"/>
          <w:szCs w:val="26"/>
        </w:rPr>
        <w:t>трлн</w:t>
      </w:r>
      <w:proofErr w:type="gramEnd"/>
      <w:r w:rsidRPr="001B5624">
        <w:rPr>
          <w:rFonts w:ascii="Times New Roman" w:hAnsi="Times New Roman" w:cs="Times New Roman"/>
          <w:sz w:val="26"/>
          <w:szCs w:val="26"/>
        </w:rPr>
        <w:t xml:space="preserve"> м</w:t>
      </w:r>
      <w:r w:rsidRPr="001B5624">
        <w:rPr>
          <w:rFonts w:ascii="Times New Roman" w:hAnsi="Times New Roman" w:cs="Times New Roman"/>
          <w:sz w:val="26"/>
          <w:szCs w:val="26"/>
          <w:vertAlign w:val="superscript"/>
        </w:rPr>
        <w:t>3</w:t>
      </w:r>
      <w:r w:rsidRPr="001B5624">
        <w:rPr>
          <w:rFonts w:ascii="Times New Roman" w:hAnsi="Times New Roman" w:cs="Times New Roman"/>
          <w:sz w:val="26"/>
          <w:szCs w:val="26"/>
        </w:rPr>
        <w:t xml:space="preserve"> в год, при этом 80% прироста обеспечат развивающиеся страны. В частности, четырехкратный ро</w:t>
      </w:r>
      <w:proofErr w:type="gramStart"/>
      <w:r w:rsidRPr="001B5624">
        <w:rPr>
          <w:rFonts w:ascii="Times New Roman" w:hAnsi="Times New Roman" w:cs="Times New Roman"/>
          <w:sz w:val="26"/>
          <w:szCs w:val="26"/>
        </w:rPr>
        <w:t>ст спр</w:t>
      </w:r>
      <w:proofErr w:type="gramEnd"/>
      <w:r w:rsidRPr="001B5624">
        <w:rPr>
          <w:rFonts w:ascii="Times New Roman" w:hAnsi="Times New Roman" w:cs="Times New Roman"/>
          <w:sz w:val="26"/>
          <w:szCs w:val="26"/>
        </w:rPr>
        <w:t>оса к 2040 г. ожидается в КНР и Индии. Также в 2,5 раза может вырасти к 2040 г. потребление в Африке, и в два раза – в Латинской Америке. Из крупных потребителей в долгосрочной перспективе снижение спроса ожидается только в Японии и ряде стран ЕС.</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Однако не менее оптимистичны и прогнозы роста предложения газа. Потенциальное предложение, как и в случае с нефтью, будет превышать потенциальный спрос. В обоих случаях – благодаря массовому вводу в эксплуатацию </w:t>
      </w:r>
      <w:proofErr w:type="spellStart"/>
      <w:r w:rsidRPr="001B5624">
        <w:rPr>
          <w:rFonts w:ascii="Times New Roman" w:hAnsi="Times New Roman" w:cs="Times New Roman"/>
          <w:sz w:val="26"/>
          <w:szCs w:val="26"/>
        </w:rPr>
        <w:t>трудноизвлекаемых</w:t>
      </w:r>
      <w:proofErr w:type="spellEnd"/>
      <w:r w:rsidRPr="001B5624">
        <w:rPr>
          <w:rFonts w:ascii="Times New Roman" w:hAnsi="Times New Roman" w:cs="Times New Roman"/>
          <w:sz w:val="26"/>
          <w:szCs w:val="26"/>
        </w:rPr>
        <w:t xml:space="preserve"> запасов (включая сланцевый газ), особенно в крупнейших странах-потребителях - США и КНР. На эти две страны придется около 25% мирового прироста добычи газа до 2040 г.</w:t>
      </w:r>
    </w:p>
    <w:p w:rsidR="00A44E5D" w:rsidRPr="001B5624" w:rsidRDefault="00A44E5D" w:rsidP="006630CA">
      <w:pPr>
        <w:spacing w:line="240" w:lineRule="auto"/>
        <w:ind w:firstLine="709"/>
        <w:jc w:val="both"/>
        <w:rPr>
          <w:rFonts w:ascii="Times New Roman" w:hAnsi="Times New Roman" w:cs="Times New Roman"/>
          <w:sz w:val="26"/>
          <w:szCs w:val="26"/>
        </w:rPr>
      </w:pPr>
      <w:proofErr w:type="gramStart"/>
      <w:r w:rsidRPr="001B5624">
        <w:rPr>
          <w:rFonts w:ascii="Times New Roman" w:hAnsi="Times New Roman" w:cs="Times New Roman"/>
          <w:sz w:val="26"/>
          <w:szCs w:val="26"/>
        </w:rPr>
        <w:t>Темпы роста потребления и собственной добычи газа в КНР – главная загадка для газового рынка на ближайшие 10-15 лет.</w:t>
      </w:r>
      <w:proofErr w:type="gramEnd"/>
      <w:r w:rsidRPr="001B5624">
        <w:rPr>
          <w:rFonts w:ascii="Times New Roman" w:hAnsi="Times New Roman" w:cs="Times New Roman"/>
          <w:sz w:val="26"/>
          <w:szCs w:val="26"/>
        </w:rPr>
        <w:t xml:space="preserve"> Неопределенность объемов спроса в КНР к 2030 г. достигает без малого 240 </w:t>
      </w:r>
      <w:proofErr w:type="gramStart"/>
      <w:r w:rsidRPr="001B5624">
        <w:rPr>
          <w:rFonts w:ascii="Times New Roman" w:hAnsi="Times New Roman" w:cs="Times New Roman"/>
          <w:sz w:val="26"/>
          <w:szCs w:val="26"/>
        </w:rPr>
        <w:t>млрд</w:t>
      </w:r>
      <w:proofErr w:type="gramEnd"/>
      <w:r w:rsidRPr="001B5624">
        <w:rPr>
          <w:rFonts w:ascii="Times New Roman" w:hAnsi="Times New Roman" w:cs="Times New Roman"/>
          <w:sz w:val="26"/>
          <w:szCs w:val="26"/>
        </w:rPr>
        <w:t xml:space="preserve"> м</w:t>
      </w:r>
      <w:r w:rsidRPr="001B5624">
        <w:rPr>
          <w:rFonts w:ascii="Times New Roman" w:hAnsi="Times New Roman" w:cs="Times New Roman"/>
          <w:sz w:val="26"/>
          <w:szCs w:val="26"/>
          <w:vertAlign w:val="superscript"/>
        </w:rPr>
        <w:t>3</w:t>
      </w:r>
      <w:r w:rsidRPr="001B5624">
        <w:rPr>
          <w:rFonts w:ascii="Times New Roman" w:hAnsi="Times New Roman" w:cs="Times New Roman"/>
          <w:sz w:val="26"/>
          <w:szCs w:val="26"/>
        </w:rPr>
        <w:t xml:space="preserve"> в год. При этом темпы роста собственной добычи газа в КНР являются существенным ограничителем для темпов роста внутреннего потребления.</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Европейский рынок газа переживает многолетнюю стагнацию спроса, которая началась в 2006 г. и завершится не ранее 2020 г. Несмотря на рост потребления в Турции, спрос на ключевом рынке региона – странах ЕС продолжает снижаться. </w:t>
      </w:r>
      <w:r w:rsidRPr="001B5624">
        <w:rPr>
          <w:rFonts w:ascii="Times New Roman" w:hAnsi="Times New Roman" w:cs="Times New Roman"/>
          <w:sz w:val="26"/>
          <w:szCs w:val="26"/>
        </w:rPr>
        <w:lastRenderedPageBreak/>
        <w:t xml:space="preserve">Учитывая относительную (и временную) стабилизацию внутренней добычи в ЕС в последние три года, это привело к снижению импорта газа в ЕС из всех источников, однако сильнее всего сократились поставки СПГ. </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Многолетнее сжатие спроса на газ в ЕС обусловлено, прежде всего, вытеснением газа из </w:t>
      </w:r>
      <w:proofErr w:type="spellStart"/>
      <w:r w:rsidRPr="001B5624">
        <w:rPr>
          <w:rFonts w:ascii="Times New Roman" w:hAnsi="Times New Roman" w:cs="Times New Roman"/>
          <w:sz w:val="26"/>
          <w:szCs w:val="26"/>
        </w:rPr>
        <w:t>электрогенерации</w:t>
      </w:r>
      <w:proofErr w:type="spellEnd"/>
      <w:r w:rsidRPr="001B5624">
        <w:rPr>
          <w:rFonts w:ascii="Times New Roman" w:hAnsi="Times New Roman" w:cs="Times New Roman"/>
          <w:sz w:val="26"/>
          <w:szCs w:val="26"/>
        </w:rPr>
        <w:t xml:space="preserve"> углем и ВИЭ, а также снижением экономической активности и относительно мягкими зимами в последние годы. В условиях резкого снижения цен на газ в Европе в 2015 г. этот процесс должен, как минимум, остановиться, если не будет искусственно поддержан новыми регуляторными мерами. При этом уже сложившиеся тенденции </w:t>
      </w:r>
      <w:proofErr w:type="gramStart"/>
      <w:r w:rsidRPr="001B5624">
        <w:rPr>
          <w:rFonts w:ascii="Times New Roman" w:hAnsi="Times New Roman" w:cs="Times New Roman"/>
          <w:sz w:val="26"/>
          <w:szCs w:val="26"/>
        </w:rPr>
        <w:t>в</w:t>
      </w:r>
      <w:proofErr w:type="gramEnd"/>
      <w:r w:rsidRPr="001B5624">
        <w:rPr>
          <w:rFonts w:ascii="Times New Roman" w:hAnsi="Times New Roman" w:cs="Times New Roman"/>
          <w:sz w:val="26"/>
          <w:szCs w:val="26"/>
        </w:rPr>
        <w:t xml:space="preserve"> </w:t>
      </w:r>
      <w:proofErr w:type="gramStart"/>
      <w:r w:rsidRPr="001B5624">
        <w:rPr>
          <w:rFonts w:ascii="Times New Roman" w:hAnsi="Times New Roman" w:cs="Times New Roman"/>
          <w:sz w:val="26"/>
          <w:szCs w:val="26"/>
        </w:rPr>
        <w:t>европейской</w:t>
      </w:r>
      <w:proofErr w:type="gramEnd"/>
      <w:r w:rsidRPr="001B5624">
        <w:rPr>
          <w:rFonts w:ascii="Times New Roman" w:hAnsi="Times New Roman" w:cs="Times New Roman"/>
          <w:sz w:val="26"/>
          <w:szCs w:val="26"/>
        </w:rPr>
        <w:t xml:space="preserve"> </w:t>
      </w:r>
      <w:proofErr w:type="spellStart"/>
      <w:r w:rsidRPr="001B5624">
        <w:rPr>
          <w:rFonts w:ascii="Times New Roman" w:hAnsi="Times New Roman" w:cs="Times New Roman"/>
          <w:sz w:val="26"/>
          <w:szCs w:val="26"/>
        </w:rPr>
        <w:t>электрогенерации</w:t>
      </w:r>
      <w:proofErr w:type="spellEnd"/>
      <w:r w:rsidRPr="001B5624">
        <w:rPr>
          <w:rFonts w:ascii="Times New Roman" w:hAnsi="Times New Roman" w:cs="Times New Roman"/>
          <w:sz w:val="26"/>
          <w:szCs w:val="26"/>
        </w:rPr>
        <w:t xml:space="preserve"> являются неустойчивыми и создают существенные риски для ее долгосрочного развития. В ближайшие 5 лет в Европе ожидается нулевой прирост потребления газа при снижении собственной добычи на 1,7%. В целом собственная добыча газа в ЕС, по прогнозу МЭА, упадет к 2040 г. на 39% к 2012 г. Но потенциальное предложение газа существенно превышает будущий спрос.</w:t>
      </w:r>
    </w:p>
    <w:p w:rsidR="00A44E5D" w:rsidRPr="000F4260" w:rsidRDefault="00A44E5D" w:rsidP="000F4260">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Даже при минимальном приросте потребления газа после 2020 г., снижение собственной добычи газа в ЕС означает существенный рост импорта газа со стороны ЕС, причем Норвегия будет неспособна в дальнейшем покрывать этот возникающий дефицит, поскольку уже сама приблизилась к пиковому уровню добычи. Таким образом, основными участниками конкурентной борьбы за новые объемы европейского импорта будут поставщики СПГ (прежде всего, Катар и США), Иран, Алжир и Россия. В целом, по нашим оценкам, потенциальное предложение газа на европейском рынке будет и в среднесрочной, и в долгосрочной перспективе</w:t>
      </w:r>
      <w:bookmarkStart w:id="229" w:name="_Toc430150469"/>
      <w:r w:rsidR="000F4260">
        <w:rPr>
          <w:rFonts w:ascii="Times New Roman" w:hAnsi="Times New Roman" w:cs="Times New Roman"/>
          <w:sz w:val="26"/>
          <w:szCs w:val="26"/>
        </w:rPr>
        <w:t xml:space="preserve"> превышать потенциальный спрос.</w:t>
      </w:r>
    </w:p>
    <w:p w:rsidR="00A44E5D" w:rsidRPr="00922DFA" w:rsidRDefault="00A44E5D" w:rsidP="007C67F6">
      <w:pPr>
        <w:pStyle w:val="1"/>
        <w:jc w:val="both"/>
        <w:rPr>
          <w:rFonts w:ascii="Times New Roman" w:hAnsi="Times New Roman" w:cs="Times New Roman"/>
          <w:i/>
          <w:color w:val="1F497D" w:themeColor="text2"/>
          <w:sz w:val="26"/>
          <w:szCs w:val="26"/>
        </w:rPr>
      </w:pPr>
      <w:bookmarkStart w:id="230" w:name="_Toc431474340"/>
      <w:r w:rsidRPr="00922DFA">
        <w:rPr>
          <w:rFonts w:ascii="Times New Roman" w:hAnsi="Times New Roman" w:cs="Times New Roman"/>
          <w:i/>
          <w:color w:val="1F497D" w:themeColor="text2"/>
          <w:sz w:val="26"/>
          <w:szCs w:val="26"/>
        </w:rPr>
        <w:t>Текущее состояние и перспективы превышения мирового предложения нефти и газа над спросом</w:t>
      </w:r>
      <w:bookmarkEnd w:id="229"/>
      <w:bookmarkEnd w:id="230"/>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В настоящее время, несмотря на относительно низкий уровень нефтяных цен, уровень предложения жидких углеводородов, по-прежнему, остается существенно выше уровня спроса. Так, согласно данным EIA, в июне 2015 года превышение мирового предложения нефти над спросом составило 1,9 </w:t>
      </w:r>
      <w:proofErr w:type="gramStart"/>
      <w:r w:rsidRPr="001B5624">
        <w:rPr>
          <w:rFonts w:ascii="Times New Roman" w:hAnsi="Times New Roman" w:cs="Times New Roman"/>
          <w:sz w:val="26"/>
          <w:szCs w:val="26"/>
        </w:rPr>
        <w:t>млн</w:t>
      </w:r>
      <w:proofErr w:type="gramEnd"/>
      <w:r w:rsidRPr="001B5624">
        <w:rPr>
          <w:rFonts w:ascii="Times New Roman" w:hAnsi="Times New Roman" w:cs="Times New Roman"/>
          <w:sz w:val="26"/>
          <w:szCs w:val="26"/>
        </w:rPr>
        <w:t xml:space="preserve"> баррелей в сутки, а в мае 2015 г. оно достигало 3 млн баррелей в сутки.</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На фоне сохраняющегося дисбаланса спроса и предложения нефти происходят значимые изменения в структуре роста мирового предложения жидких углеводородов. Так, если в 2013 г. и первой половине 2014 г. основной рост добычи нефти, как уже отмечалось, обеспечивался за счет стран, не входящих в ОПЕК, главным образом США, то впоследствии ситуация стала меняться.  В первом полугодии 2015 г. добыча сланцевой нефти в США начала постепенно стабилизироваться. Это не могло быть достигнуто моментально, поскольку в сланцевой нефтедобыче в США действуют определенные факторы замедления реакции на ценовые шоки, включая большие объемы хеджирования, высокую </w:t>
      </w:r>
      <w:proofErr w:type="spellStart"/>
      <w:r w:rsidRPr="001B5624">
        <w:rPr>
          <w:rFonts w:ascii="Times New Roman" w:hAnsi="Times New Roman" w:cs="Times New Roman"/>
          <w:sz w:val="26"/>
          <w:szCs w:val="26"/>
        </w:rPr>
        <w:t>закредитованность</w:t>
      </w:r>
      <w:proofErr w:type="spellEnd"/>
      <w:r w:rsidRPr="001B5624">
        <w:rPr>
          <w:rFonts w:ascii="Times New Roman" w:hAnsi="Times New Roman" w:cs="Times New Roman"/>
          <w:sz w:val="26"/>
          <w:szCs w:val="26"/>
        </w:rPr>
        <w:t xml:space="preserve"> нефтяных компаний, вынуждающую их вести добычу даже тогда, когда цены едва покрывают операционные издержки. </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 xml:space="preserve">Добыча стран ОПЕК в этот же период времени, наоборот, стала расти, поскольку некоторые из стран-членов этой организации продолжают увеличивать </w:t>
      </w:r>
      <w:r w:rsidRPr="001B5624">
        <w:rPr>
          <w:rFonts w:ascii="Times New Roman" w:hAnsi="Times New Roman" w:cs="Times New Roman"/>
          <w:sz w:val="26"/>
          <w:szCs w:val="26"/>
        </w:rPr>
        <w:lastRenderedPageBreak/>
        <w:t xml:space="preserve">добычу для того, чтобы компенсировать снизившийся в условиях низких цен объем выручки от экспорта нефти. Серьезное расхождение между уровнем добычи нефти в ОПЕК и потребностью мирового рынка наблюдается с середины 2014 г. В настоящее время это расхождение, по оценке EIA, составляет более 2 </w:t>
      </w:r>
      <w:proofErr w:type="gramStart"/>
      <w:r w:rsidRPr="001B5624">
        <w:rPr>
          <w:rFonts w:ascii="Times New Roman" w:hAnsi="Times New Roman" w:cs="Times New Roman"/>
          <w:sz w:val="26"/>
          <w:szCs w:val="26"/>
        </w:rPr>
        <w:t>млн</w:t>
      </w:r>
      <w:proofErr w:type="gramEnd"/>
      <w:r w:rsidRPr="001B5624">
        <w:rPr>
          <w:rFonts w:ascii="Times New Roman" w:hAnsi="Times New Roman" w:cs="Times New Roman"/>
          <w:sz w:val="26"/>
          <w:szCs w:val="26"/>
        </w:rPr>
        <w:t xml:space="preserve"> баррелей в сутки. В Уставе ОПЕК отсутствуют санкции за нарушение предоставленных государству квот по добыче. За все время существования ОПЕК не было ни одного прецедента наложения наказания со стороны картеля на страну-члена за несоблюдение предоставленных ей квот, несмотря на частоту подобных случаев.</w:t>
      </w:r>
    </w:p>
    <w:p w:rsidR="00A44E5D" w:rsidRPr="001B5624" w:rsidRDefault="00A44E5D" w:rsidP="006630CA">
      <w:pPr>
        <w:spacing w:line="240" w:lineRule="auto"/>
        <w:ind w:firstLine="709"/>
        <w:jc w:val="both"/>
        <w:rPr>
          <w:rFonts w:ascii="Times New Roman" w:hAnsi="Times New Roman" w:cs="Times New Roman"/>
          <w:sz w:val="26"/>
          <w:szCs w:val="26"/>
        </w:rPr>
      </w:pPr>
      <w:r w:rsidRPr="001B5624">
        <w:rPr>
          <w:rFonts w:ascii="Times New Roman" w:hAnsi="Times New Roman" w:cs="Times New Roman"/>
          <w:sz w:val="26"/>
          <w:szCs w:val="26"/>
        </w:rPr>
        <w:t>Даже в условиях неустойчивого восстановления мировой экономики спрос на жидкие углеводороды в мире продолжит расти. Несмотря на рост энергоэффективности и конкуренцию со стороны других видов топлива, нефть остается главным источником энергии для транспорта и сырья для растущей нефтехимии. По оценкам ведущих мировых аналитических центров, к 2020 году потребление нефти может вырасти на 7-11 процентов от сегодняшнего уровня, а в период от 2020 до 2040 года — еще на 11-22% от  уровня 2020 года.</w:t>
      </w:r>
    </w:p>
    <w:p w:rsidR="00A44E5D" w:rsidRPr="001B5624" w:rsidRDefault="00A44E5D" w:rsidP="006630CA">
      <w:pPr>
        <w:spacing w:line="240" w:lineRule="auto"/>
        <w:ind w:firstLine="709"/>
        <w:jc w:val="both"/>
        <w:rPr>
          <w:rFonts w:ascii="Times New Roman" w:hAnsi="Times New Roman" w:cs="Times New Roman"/>
          <w:sz w:val="26"/>
          <w:szCs w:val="26"/>
        </w:rPr>
      </w:pPr>
      <w:proofErr w:type="gramStart"/>
      <w:r w:rsidRPr="001B5624">
        <w:rPr>
          <w:rFonts w:ascii="Times New Roman" w:hAnsi="Times New Roman" w:cs="Times New Roman"/>
          <w:sz w:val="26"/>
          <w:szCs w:val="26"/>
        </w:rPr>
        <w:t>В целом, развитие как газовой, так и нефтяной отраслей в условиях цен на нефть в сложившемся в 2015 г. диапазоне 45-70 долл. за баррель является неустойчивым.</w:t>
      </w:r>
      <w:proofErr w:type="gramEnd"/>
      <w:r w:rsidRPr="001B5624">
        <w:rPr>
          <w:rFonts w:ascii="Times New Roman" w:hAnsi="Times New Roman" w:cs="Times New Roman"/>
          <w:sz w:val="26"/>
          <w:szCs w:val="26"/>
        </w:rPr>
        <w:t xml:space="preserve"> Снижение инвестиций в разведку и добычу газа приведет в конечном итоге к возникновению дефицита предложения к 2020 г., который, если его не удастся во время сбаланс</w:t>
      </w:r>
      <w:r w:rsidR="00435104">
        <w:rPr>
          <w:rFonts w:ascii="Times New Roman" w:hAnsi="Times New Roman" w:cs="Times New Roman"/>
          <w:sz w:val="26"/>
          <w:szCs w:val="26"/>
        </w:rPr>
        <w:t>ировать, повлечет</w:t>
      </w:r>
      <w:r w:rsidRPr="001B5624">
        <w:rPr>
          <w:rFonts w:ascii="Times New Roman" w:hAnsi="Times New Roman" w:cs="Times New Roman"/>
          <w:sz w:val="26"/>
          <w:szCs w:val="26"/>
        </w:rPr>
        <w:t xml:space="preserve"> резкий рост цен. При этом добыча сланцевого газа в США в условиях низких цен на нефть может снизить темпы прироста, но вряд ли сократится, поскольку наблюдается стремительный прогресс снижения ее издержек.</w:t>
      </w:r>
    </w:p>
    <w:p w:rsidR="00A44E5D" w:rsidRPr="00A44E5D" w:rsidRDefault="00A44E5D" w:rsidP="000F4260">
      <w:pPr>
        <w:spacing w:line="240" w:lineRule="auto"/>
        <w:jc w:val="both"/>
        <w:rPr>
          <w:rFonts w:ascii="Times New Roman" w:hAnsi="Times New Roman" w:cs="Times New Roman"/>
          <w:sz w:val="28"/>
          <w:szCs w:val="28"/>
        </w:rPr>
      </w:pPr>
    </w:p>
    <w:sectPr w:rsidR="00A44E5D" w:rsidRPr="00A44E5D" w:rsidSect="000F4260">
      <w:footerReference w:type="default" r:id="rId34"/>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3E" w:rsidRDefault="0004583E" w:rsidP="000F4260">
      <w:pPr>
        <w:spacing w:after="0" w:line="240" w:lineRule="auto"/>
      </w:pPr>
      <w:r>
        <w:separator/>
      </w:r>
    </w:p>
  </w:endnote>
  <w:endnote w:type="continuationSeparator" w:id="0">
    <w:p w:rsidR="0004583E" w:rsidRDefault="0004583E" w:rsidP="000F4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746677"/>
      <w:docPartObj>
        <w:docPartGallery w:val="Page Numbers (Bottom of Page)"/>
        <w:docPartUnique/>
      </w:docPartObj>
    </w:sdtPr>
    <w:sdtEndPr/>
    <w:sdtContent>
      <w:p w:rsidR="000D0466" w:rsidRDefault="000D0466">
        <w:pPr>
          <w:pStyle w:val="ab"/>
          <w:jc w:val="right"/>
        </w:pPr>
        <w:r>
          <w:fldChar w:fldCharType="begin"/>
        </w:r>
        <w:r>
          <w:instrText>PAGE   \* MERGEFORMAT</w:instrText>
        </w:r>
        <w:r>
          <w:fldChar w:fldCharType="separate"/>
        </w:r>
        <w:r w:rsidR="001A1C28">
          <w:rPr>
            <w:noProof/>
          </w:rPr>
          <w:t>10</w:t>
        </w:r>
        <w:r>
          <w:fldChar w:fldCharType="end"/>
        </w:r>
      </w:p>
    </w:sdtContent>
  </w:sdt>
  <w:p w:rsidR="000D0466" w:rsidRDefault="000D046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3E" w:rsidRDefault="0004583E" w:rsidP="000F4260">
      <w:pPr>
        <w:spacing w:after="0" w:line="240" w:lineRule="auto"/>
      </w:pPr>
      <w:r>
        <w:separator/>
      </w:r>
    </w:p>
  </w:footnote>
  <w:footnote w:type="continuationSeparator" w:id="0">
    <w:p w:rsidR="0004583E" w:rsidRDefault="0004583E" w:rsidP="000F4260">
      <w:pPr>
        <w:spacing w:after="0" w:line="240" w:lineRule="auto"/>
      </w:pPr>
      <w:r>
        <w:continuationSeparator/>
      </w:r>
    </w:p>
  </w:footnote>
  <w:footnote w:id="1">
    <w:p w:rsidR="000D0466" w:rsidRPr="00824627" w:rsidRDefault="000D0466" w:rsidP="00922DFA">
      <w:pPr>
        <w:pStyle w:val="af"/>
        <w:rPr>
          <w:rFonts w:ascii="Times New Roman" w:hAnsi="Times New Roman" w:cs="Times New Roman"/>
        </w:rPr>
      </w:pPr>
      <w:r>
        <w:rPr>
          <w:rStyle w:val="af1"/>
        </w:rPr>
        <w:footnoteRef/>
      </w:r>
      <w:r>
        <w:t xml:space="preserve"> </w:t>
      </w:r>
      <w:r w:rsidRPr="00824627">
        <w:rPr>
          <w:rFonts w:ascii="Times New Roman" w:hAnsi="Times New Roman" w:cs="Times New Roman"/>
        </w:rPr>
        <w:t>До 21.07.2015 – ФСТ РФ (см. Указ Президента РФ №373 от 21.07.2015).</w:t>
      </w:r>
    </w:p>
    <w:p w:rsidR="000D0466" w:rsidRPr="00922DFA" w:rsidRDefault="000D0466">
      <w:pPr>
        <w:pStyle w:val="af"/>
      </w:pPr>
    </w:p>
  </w:footnote>
  <w:footnote w:id="2">
    <w:p w:rsidR="000D0466" w:rsidRPr="00922DFA" w:rsidRDefault="000D0466">
      <w:pPr>
        <w:pStyle w:val="af"/>
      </w:pPr>
      <w:r>
        <w:rPr>
          <w:rStyle w:val="af1"/>
        </w:rPr>
        <w:footnoteRef/>
      </w:r>
      <w:r>
        <w:t xml:space="preserve"> </w:t>
      </w:r>
      <w:r w:rsidRPr="00EF3438">
        <w:rPr>
          <w:rFonts w:ascii="Times New Roman" w:hAnsi="Times New Roman" w:cs="Times New Roman"/>
        </w:rPr>
        <w:t>Также регулированию подлежат оптовые цены на газ, добываемый в региональных системах газоснабжения следующими организациями: ОАО «Норильскгазпром» (Красноярский край), ОАО «Якутгазпром» (Республика Якутия-Саха), ОАО «</w:t>
      </w:r>
      <w:proofErr w:type="spellStart"/>
      <w:r w:rsidRPr="00EF3438">
        <w:rPr>
          <w:rFonts w:ascii="Times New Roman" w:hAnsi="Times New Roman" w:cs="Times New Roman"/>
        </w:rPr>
        <w:t>Камчатгазпром</w:t>
      </w:r>
      <w:proofErr w:type="spellEnd"/>
      <w:r w:rsidRPr="00EF3438">
        <w:rPr>
          <w:rFonts w:ascii="Times New Roman" w:hAnsi="Times New Roman" w:cs="Times New Roman"/>
        </w:rPr>
        <w:t>» (Камчатский край), ОАО «</w:t>
      </w:r>
      <w:proofErr w:type="spellStart"/>
      <w:r w:rsidRPr="00EF3438">
        <w:rPr>
          <w:rFonts w:ascii="Times New Roman" w:hAnsi="Times New Roman" w:cs="Times New Roman"/>
        </w:rPr>
        <w:t>Печоранефтегазпром</w:t>
      </w:r>
      <w:proofErr w:type="spellEnd"/>
      <w:r w:rsidRPr="00EF3438">
        <w:rPr>
          <w:rFonts w:ascii="Times New Roman" w:hAnsi="Times New Roman" w:cs="Times New Roman"/>
        </w:rPr>
        <w:t>» (Ненецкий АО), ОГУП «Сахалинская нефтяная компания» (Сахалинская область), ОАО НК «Роснефть» (поставки газа в Сахалинскую область и Хабаровский край).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B87"/>
    <w:multiLevelType w:val="hybridMultilevel"/>
    <w:tmpl w:val="139469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158B5"/>
    <w:multiLevelType w:val="hybridMultilevel"/>
    <w:tmpl w:val="716CAB8C"/>
    <w:lvl w:ilvl="0" w:tplc="9B8236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03FFE"/>
    <w:multiLevelType w:val="hybridMultilevel"/>
    <w:tmpl w:val="8DBA8D24"/>
    <w:lvl w:ilvl="0" w:tplc="E974A6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8B0C03"/>
    <w:multiLevelType w:val="hybridMultilevel"/>
    <w:tmpl w:val="E72888F4"/>
    <w:lvl w:ilvl="0" w:tplc="BBBE1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0CBF"/>
    <w:multiLevelType w:val="hybridMultilevel"/>
    <w:tmpl w:val="5D84E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2A2426"/>
    <w:multiLevelType w:val="hybridMultilevel"/>
    <w:tmpl w:val="3C4A5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4D5CED"/>
    <w:multiLevelType w:val="hybridMultilevel"/>
    <w:tmpl w:val="7098E4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39023E"/>
    <w:multiLevelType w:val="hybridMultilevel"/>
    <w:tmpl w:val="5AB06B4C"/>
    <w:lvl w:ilvl="0" w:tplc="E974A62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7B2F73"/>
    <w:multiLevelType w:val="multilevel"/>
    <w:tmpl w:val="8598AFF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9">
    <w:nsid w:val="3C233B70"/>
    <w:multiLevelType w:val="hybridMultilevel"/>
    <w:tmpl w:val="F3D61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3523B5"/>
    <w:multiLevelType w:val="hybridMultilevel"/>
    <w:tmpl w:val="6DEA08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D10F12"/>
    <w:multiLevelType w:val="hybridMultilevel"/>
    <w:tmpl w:val="60006B00"/>
    <w:lvl w:ilvl="0" w:tplc="F31E5C40">
      <w:start w:val="1"/>
      <w:numFmt w:val="decimal"/>
      <w:lvlText w:val="%1."/>
      <w:lvlJc w:val="left"/>
      <w:pPr>
        <w:ind w:left="995" w:hanging="360"/>
      </w:pPr>
    </w:lvl>
    <w:lvl w:ilvl="1" w:tplc="04190019">
      <w:start w:val="1"/>
      <w:numFmt w:val="lowerLetter"/>
      <w:lvlText w:val="%2."/>
      <w:lvlJc w:val="left"/>
      <w:pPr>
        <w:ind w:left="1715" w:hanging="360"/>
      </w:pPr>
    </w:lvl>
    <w:lvl w:ilvl="2" w:tplc="0419001B">
      <w:start w:val="1"/>
      <w:numFmt w:val="lowerRoman"/>
      <w:lvlText w:val="%3."/>
      <w:lvlJc w:val="right"/>
      <w:pPr>
        <w:ind w:left="2435" w:hanging="180"/>
      </w:pPr>
    </w:lvl>
    <w:lvl w:ilvl="3" w:tplc="0419000F">
      <w:start w:val="1"/>
      <w:numFmt w:val="decimal"/>
      <w:lvlText w:val="%4."/>
      <w:lvlJc w:val="left"/>
      <w:pPr>
        <w:ind w:left="3155" w:hanging="360"/>
      </w:pPr>
    </w:lvl>
    <w:lvl w:ilvl="4" w:tplc="04190019">
      <w:start w:val="1"/>
      <w:numFmt w:val="lowerLetter"/>
      <w:lvlText w:val="%5."/>
      <w:lvlJc w:val="left"/>
      <w:pPr>
        <w:ind w:left="3875" w:hanging="360"/>
      </w:pPr>
    </w:lvl>
    <w:lvl w:ilvl="5" w:tplc="0419001B">
      <w:start w:val="1"/>
      <w:numFmt w:val="lowerRoman"/>
      <w:lvlText w:val="%6."/>
      <w:lvlJc w:val="right"/>
      <w:pPr>
        <w:ind w:left="4595" w:hanging="180"/>
      </w:pPr>
    </w:lvl>
    <w:lvl w:ilvl="6" w:tplc="0419000F">
      <w:start w:val="1"/>
      <w:numFmt w:val="decimal"/>
      <w:lvlText w:val="%7."/>
      <w:lvlJc w:val="left"/>
      <w:pPr>
        <w:ind w:left="5315" w:hanging="360"/>
      </w:pPr>
    </w:lvl>
    <w:lvl w:ilvl="7" w:tplc="04190019">
      <w:start w:val="1"/>
      <w:numFmt w:val="lowerLetter"/>
      <w:lvlText w:val="%8."/>
      <w:lvlJc w:val="left"/>
      <w:pPr>
        <w:ind w:left="6035" w:hanging="360"/>
      </w:pPr>
    </w:lvl>
    <w:lvl w:ilvl="8" w:tplc="0419001B">
      <w:start w:val="1"/>
      <w:numFmt w:val="lowerRoman"/>
      <w:lvlText w:val="%9."/>
      <w:lvlJc w:val="right"/>
      <w:pPr>
        <w:ind w:left="6755" w:hanging="180"/>
      </w:pPr>
    </w:lvl>
  </w:abstractNum>
  <w:abstractNum w:abstractNumId="12">
    <w:nsid w:val="4D230457"/>
    <w:multiLevelType w:val="hybridMultilevel"/>
    <w:tmpl w:val="38044C6A"/>
    <w:lvl w:ilvl="0" w:tplc="B5A0419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FBE024E"/>
    <w:multiLevelType w:val="hybridMultilevel"/>
    <w:tmpl w:val="25D82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3C16E4"/>
    <w:multiLevelType w:val="hybridMultilevel"/>
    <w:tmpl w:val="CB2019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F731AA"/>
    <w:multiLevelType w:val="hybridMultilevel"/>
    <w:tmpl w:val="1A58F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FB0831"/>
    <w:multiLevelType w:val="hybridMultilevel"/>
    <w:tmpl w:val="C5F4A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5E20E0"/>
    <w:multiLevelType w:val="hybridMultilevel"/>
    <w:tmpl w:val="60006B00"/>
    <w:lvl w:ilvl="0" w:tplc="F31E5C40">
      <w:start w:val="1"/>
      <w:numFmt w:val="decimal"/>
      <w:lvlText w:val="%1."/>
      <w:lvlJc w:val="left"/>
      <w:pPr>
        <w:ind w:left="995" w:hanging="360"/>
      </w:pPr>
    </w:lvl>
    <w:lvl w:ilvl="1" w:tplc="04190019">
      <w:start w:val="1"/>
      <w:numFmt w:val="lowerLetter"/>
      <w:lvlText w:val="%2."/>
      <w:lvlJc w:val="left"/>
      <w:pPr>
        <w:ind w:left="1715" w:hanging="360"/>
      </w:pPr>
    </w:lvl>
    <w:lvl w:ilvl="2" w:tplc="0419001B">
      <w:start w:val="1"/>
      <w:numFmt w:val="lowerRoman"/>
      <w:lvlText w:val="%3."/>
      <w:lvlJc w:val="right"/>
      <w:pPr>
        <w:ind w:left="2435" w:hanging="180"/>
      </w:pPr>
    </w:lvl>
    <w:lvl w:ilvl="3" w:tplc="0419000F">
      <w:start w:val="1"/>
      <w:numFmt w:val="decimal"/>
      <w:lvlText w:val="%4."/>
      <w:lvlJc w:val="left"/>
      <w:pPr>
        <w:ind w:left="3155" w:hanging="360"/>
      </w:pPr>
    </w:lvl>
    <w:lvl w:ilvl="4" w:tplc="04190019">
      <w:start w:val="1"/>
      <w:numFmt w:val="lowerLetter"/>
      <w:lvlText w:val="%5."/>
      <w:lvlJc w:val="left"/>
      <w:pPr>
        <w:ind w:left="3875" w:hanging="360"/>
      </w:pPr>
    </w:lvl>
    <w:lvl w:ilvl="5" w:tplc="0419001B">
      <w:start w:val="1"/>
      <w:numFmt w:val="lowerRoman"/>
      <w:lvlText w:val="%6."/>
      <w:lvlJc w:val="right"/>
      <w:pPr>
        <w:ind w:left="4595" w:hanging="180"/>
      </w:pPr>
    </w:lvl>
    <w:lvl w:ilvl="6" w:tplc="0419000F">
      <w:start w:val="1"/>
      <w:numFmt w:val="decimal"/>
      <w:lvlText w:val="%7."/>
      <w:lvlJc w:val="left"/>
      <w:pPr>
        <w:ind w:left="5315" w:hanging="360"/>
      </w:pPr>
    </w:lvl>
    <w:lvl w:ilvl="7" w:tplc="04190019">
      <w:start w:val="1"/>
      <w:numFmt w:val="lowerLetter"/>
      <w:lvlText w:val="%8."/>
      <w:lvlJc w:val="left"/>
      <w:pPr>
        <w:ind w:left="6035" w:hanging="360"/>
      </w:pPr>
    </w:lvl>
    <w:lvl w:ilvl="8" w:tplc="0419001B">
      <w:start w:val="1"/>
      <w:numFmt w:val="lowerRoman"/>
      <w:lvlText w:val="%9."/>
      <w:lvlJc w:val="right"/>
      <w:pPr>
        <w:ind w:left="6755" w:hanging="180"/>
      </w:pPr>
    </w:lvl>
  </w:abstractNum>
  <w:abstractNum w:abstractNumId="18">
    <w:nsid w:val="779B5A3F"/>
    <w:multiLevelType w:val="hybridMultilevel"/>
    <w:tmpl w:val="BD1A4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B63EE7"/>
    <w:multiLevelType w:val="hybridMultilevel"/>
    <w:tmpl w:val="E5DEF3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AD42F9"/>
    <w:multiLevelType w:val="hybridMultilevel"/>
    <w:tmpl w:val="BA08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2D4713"/>
    <w:multiLevelType w:val="hybridMultilevel"/>
    <w:tmpl w:val="CB3677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7"/>
  </w:num>
  <w:num w:numId="4">
    <w:abstractNumId w:val="2"/>
  </w:num>
  <w:num w:numId="5">
    <w:abstractNumId w:val="4"/>
  </w:num>
  <w:num w:numId="6">
    <w:abstractNumId w:val="16"/>
  </w:num>
  <w:num w:numId="7">
    <w:abstractNumId w:val="21"/>
  </w:num>
  <w:num w:numId="8">
    <w:abstractNumId w:val="0"/>
  </w:num>
  <w:num w:numId="9">
    <w:abstractNumId w:val="14"/>
  </w:num>
  <w:num w:numId="10">
    <w:abstractNumId w:val="19"/>
  </w:num>
  <w:num w:numId="11">
    <w:abstractNumId w:val="6"/>
  </w:num>
  <w:num w:numId="12">
    <w:abstractNumId w:val="13"/>
  </w:num>
  <w:num w:numId="13">
    <w:abstractNumId w:val="20"/>
  </w:num>
  <w:num w:numId="14">
    <w:abstractNumId w:val="8"/>
  </w:num>
  <w:num w:numId="15">
    <w:abstractNumId w:val="1"/>
  </w:num>
  <w:num w:numId="16">
    <w:abstractNumId w:val="18"/>
  </w:num>
  <w:num w:numId="17">
    <w:abstractNumId w:val="3"/>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D6"/>
    <w:rsid w:val="0004583E"/>
    <w:rsid w:val="00097772"/>
    <w:rsid w:val="000A6001"/>
    <w:rsid w:val="000D0466"/>
    <w:rsid w:val="000D4DF9"/>
    <w:rsid w:val="000E2064"/>
    <w:rsid w:val="000F4260"/>
    <w:rsid w:val="001A1C28"/>
    <w:rsid w:val="00255F02"/>
    <w:rsid w:val="002837D6"/>
    <w:rsid w:val="00293781"/>
    <w:rsid w:val="003C36CB"/>
    <w:rsid w:val="00435104"/>
    <w:rsid w:val="0044518E"/>
    <w:rsid w:val="004A61CB"/>
    <w:rsid w:val="00506AF9"/>
    <w:rsid w:val="005605F8"/>
    <w:rsid w:val="005C0488"/>
    <w:rsid w:val="00655395"/>
    <w:rsid w:val="006630CA"/>
    <w:rsid w:val="007828CD"/>
    <w:rsid w:val="00790EC2"/>
    <w:rsid w:val="007C67F6"/>
    <w:rsid w:val="00850FBB"/>
    <w:rsid w:val="008A4E68"/>
    <w:rsid w:val="008B08D6"/>
    <w:rsid w:val="009155DD"/>
    <w:rsid w:val="00922DFA"/>
    <w:rsid w:val="00A01793"/>
    <w:rsid w:val="00A24C32"/>
    <w:rsid w:val="00A44E5D"/>
    <w:rsid w:val="00A60885"/>
    <w:rsid w:val="00B31E18"/>
    <w:rsid w:val="00B35057"/>
    <w:rsid w:val="00B55B7E"/>
    <w:rsid w:val="00B63FBE"/>
    <w:rsid w:val="00BB23E3"/>
    <w:rsid w:val="00BF03C7"/>
    <w:rsid w:val="00C00B4F"/>
    <w:rsid w:val="00C57773"/>
    <w:rsid w:val="00CE5135"/>
    <w:rsid w:val="00D819EB"/>
    <w:rsid w:val="00E449F3"/>
    <w:rsid w:val="00EB3159"/>
    <w:rsid w:val="00EE4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51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4E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4E5D"/>
    <w:rPr>
      <w:rFonts w:ascii="Tahoma" w:hAnsi="Tahoma" w:cs="Tahoma"/>
      <w:sz w:val="16"/>
      <w:szCs w:val="16"/>
    </w:rPr>
  </w:style>
  <w:style w:type="table" w:customStyle="1" w:styleId="-11">
    <w:name w:val="Цветная сетка - Акцент 11"/>
    <w:basedOn w:val="a1"/>
    <w:next w:val="-1"/>
    <w:uiPriority w:val="73"/>
    <w:rsid w:val="00A44E5D"/>
    <w:pPr>
      <w:spacing w:after="0" w:line="240" w:lineRule="auto"/>
      <w:ind w:firstLine="360"/>
    </w:pPr>
    <w:rPr>
      <w:rFonts w:eastAsia="MS Mincho" w:cs="Times New Roman"/>
      <w:color w:val="062328"/>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2EEF6"/>
    </w:tcPr>
    <w:tblStylePr w:type="firstRow">
      <w:rPr>
        <w:b/>
        <w:bCs/>
      </w:rPr>
      <w:tblPr/>
      <w:tcPr>
        <w:shd w:val="clear" w:color="auto" w:fill="85DDEC"/>
      </w:tcPr>
    </w:tblStylePr>
    <w:tblStylePr w:type="lastRow">
      <w:rPr>
        <w:b/>
        <w:bCs/>
        <w:color w:val="062328"/>
      </w:rPr>
      <w:tblPr/>
      <w:tcPr>
        <w:shd w:val="clear" w:color="auto" w:fill="85DDEC"/>
      </w:tcPr>
    </w:tblStylePr>
    <w:tblStylePr w:type="firstCol">
      <w:rPr>
        <w:color w:val="FFFFFF"/>
      </w:rPr>
      <w:tblPr/>
      <w:tcPr>
        <w:shd w:val="clear" w:color="auto" w:fill="0F5B68"/>
      </w:tcPr>
    </w:tblStylePr>
    <w:tblStylePr w:type="lastCol">
      <w:rPr>
        <w:color w:val="FFFFFF"/>
      </w:rPr>
      <w:tblPr/>
      <w:tcPr>
        <w:shd w:val="clear" w:color="auto" w:fill="0F5B68"/>
      </w:tcPr>
    </w:tblStylePr>
    <w:tblStylePr w:type="band1Vert">
      <w:tblPr/>
      <w:tcPr>
        <w:shd w:val="clear" w:color="auto" w:fill="67D5E8"/>
      </w:tcPr>
    </w:tblStylePr>
    <w:tblStylePr w:type="band1Horz">
      <w:tblPr/>
      <w:tcPr>
        <w:shd w:val="clear" w:color="auto" w:fill="67D5E8"/>
      </w:tcPr>
    </w:tblStylePr>
  </w:style>
  <w:style w:type="table" w:styleId="-1">
    <w:name w:val="Colorful Grid Accent 1"/>
    <w:basedOn w:val="a1"/>
    <w:uiPriority w:val="73"/>
    <w:rsid w:val="00A44E5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
    <w:name w:val="Светлая заливка - Акцент 12"/>
    <w:basedOn w:val="a1"/>
    <w:uiPriority w:val="60"/>
    <w:rsid w:val="00A44E5D"/>
    <w:pPr>
      <w:spacing w:after="0" w:line="240" w:lineRule="auto"/>
    </w:pPr>
    <w:rPr>
      <w:rFonts w:eastAsia="MS Mincho"/>
      <w:color w:val="0F5B68"/>
      <w:lang w:eastAsia="ru-RU"/>
    </w:rPr>
    <w:tblPr>
      <w:tblStyleRowBandSize w:val="1"/>
      <w:tblStyleColBandSize w:val="1"/>
      <w:tblInd w:w="0" w:type="dxa"/>
      <w:tblBorders>
        <w:top w:val="single" w:sz="8" w:space="0" w:color="157B8C"/>
        <w:bottom w:val="single" w:sz="8" w:space="0" w:color="157B8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57B8C"/>
          <w:left w:val="nil"/>
          <w:bottom w:val="single" w:sz="8" w:space="0" w:color="157B8C"/>
          <w:right w:val="nil"/>
          <w:insideH w:val="nil"/>
          <w:insideV w:val="nil"/>
        </w:tcBorders>
      </w:tcPr>
    </w:tblStylePr>
    <w:tblStylePr w:type="lastRow">
      <w:pPr>
        <w:spacing w:before="0" w:after="0" w:line="240" w:lineRule="auto"/>
      </w:pPr>
      <w:rPr>
        <w:b/>
        <w:bCs/>
      </w:rPr>
      <w:tblPr/>
      <w:tcPr>
        <w:tcBorders>
          <w:top w:val="single" w:sz="8" w:space="0" w:color="157B8C"/>
          <w:left w:val="nil"/>
          <w:bottom w:val="single" w:sz="8" w:space="0" w:color="157B8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3"/>
      </w:tcPr>
    </w:tblStylePr>
    <w:tblStylePr w:type="band1Horz">
      <w:tblPr/>
      <w:tcPr>
        <w:tcBorders>
          <w:left w:val="nil"/>
          <w:right w:val="nil"/>
          <w:insideH w:val="nil"/>
          <w:insideV w:val="nil"/>
        </w:tcBorders>
        <w:shd w:val="clear" w:color="auto" w:fill="B3EAF3"/>
      </w:tcPr>
    </w:tblStylePr>
  </w:style>
  <w:style w:type="table" w:customStyle="1" w:styleId="-110">
    <w:name w:val="Светлая заливка - Акцент 11"/>
    <w:basedOn w:val="a1"/>
    <w:uiPriority w:val="60"/>
    <w:rsid w:val="00A44E5D"/>
    <w:pPr>
      <w:spacing w:after="0" w:line="240" w:lineRule="auto"/>
    </w:pPr>
    <w:rPr>
      <w:rFonts w:eastAsiaTheme="minorEastAsia"/>
      <w:color w:val="365F91" w:themeColor="accent1" w:themeShade="BF"/>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List Paragraph"/>
    <w:basedOn w:val="a"/>
    <w:link w:val="a6"/>
    <w:uiPriority w:val="34"/>
    <w:qFormat/>
    <w:rsid w:val="00A44E5D"/>
    <w:pPr>
      <w:spacing w:after="0" w:line="240" w:lineRule="auto"/>
      <w:ind w:left="720" w:firstLine="360"/>
      <w:contextualSpacing/>
    </w:pPr>
    <w:rPr>
      <w:rFonts w:eastAsiaTheme="minorEastAsia"/>
    </w:rPr>
  </w:style>
  <w:style w:type="character" w:customStyle="1" w:styleId="a6">
    <w:name w:val="Абзац списка Знак"/>
    <w:link w:val="a5"/>
    <w:uiPriority w:val="34"/>
    <w:locked/>
    <w:rsid w:val="00A44E5D"/>
    <w:rPr>
      <w:rFonts w:eastAsiaTheme="minorEastAsia"/>
    </w:rPr>
  </w:style>
  <w:style w:type="character" w:customStyle="1" w:styleId="10">
    <w:name w:val="Заголовок 1 Знак"/>
    <w:basedOn w:val="a0"/>
    <w:link w:val="1"/>
    <w:uiPriority w:val="9"/>
    <w:rsid w:val="00CE5135"/>
    <w:rPr>
      <w:rFonts w:asciiTheme="majorHAnsi" w:eastAsiaTheme="majorEastAsia" w:hAnsiTheme="majorHAnsi" w:cstheme="majorBidi"/>
      <w:b/>
      <w:bCs/>
      <w:color w:val="365F91" w:themeColor="accent1" w:themeShade="BF"/>
      <w:sz w:val="28"/>
      <w:szCs w:val="28"/>
    </w:rPr>
  </w:style>
  <w:style w:type="paragraph" w:styleId="a7">
    <w:name w:val="Subtitle"/>
    <w:basedOn w:val="a"/>
    <w:next w:val="a"/>
    <w:link w:val="a8"/>
    <w:uiPriority w:val="11"/>
    <w:qFormat/>
    <w:rsid w:val="00CE51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CE5135"/>
    <w:rPr>
      <w:rFonts w:asciiTheme="majorHAnsi" w:eastAsiaTheme="majorEastAsia" w:hAnsiTheme="majorHAnsi" w:cstheme="majorBidi"/>
      <w:i/>
      <w:iCs/>
      <w:color w:val="4F81BD" w:themeColor="accent1"/>
      <w:spacing w:val="15"/>
      <w:sz w:val="24"/>
      <w:szCs w:val="24"/>
    </w:rPr>
  </w:style>
  <w:style w:type="paragraph" w:styleId="a9">
    <w:name w:val="header"/>
    <w:basedOn w:val="a"/>
    <w:link w:val="aa"/>
    <w:uiPriority w:val="99"/>
    <w:unhideWhenUsed/>
    <w:rsid w:val="000F426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F4260"/>
  </w:style>
  <w:style w:type="paragraph" w:styleId="ab">
    <w:name w:val="footer"/>
    <w:basedOn w:val="a"/>
    <w:link w:val="ac"/>
    <w:uiPriority w:val="99"/>
    <w:unhideWhenUsed/>
    <w:rsid w:val="000F426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F4260"/>
  </w:style>
  <w:style w:type="paragraph" w:styleId="ad">
    <w:name w:val="TOC Heading"/>
    <w:basedOn w:val="1"/>
    <w:next w:val="a"/>
    <w:uiPriority w:val="39"/>
    <w:semiHidden/>
    <w:unhideWhenUsed/>
    <w:qFormat/>
    <w:rsid w:val="000F4260"/>
    <w:pPr>
      <w:outlineLvl w:val="9"/>
    </w:pPr>
    <w:rPr>
      <w:lang w:eastAsia="ru-RU"/>
    </w:rPr>
  </w:style>
  <w:style w:type="paragraph" w:styleId="11">
    <w:name w:val="toc 1"/>
    <w:basedOn w:val="a"/>
    <w:next w:val="a"/>
    <w:autoRedefine/>
    <w:uiPriority w:val="39"/>
    <w:unhideWhenUsed/>
    <w:rsid w:val="000F4260"/>
    <w:pPr>
      <w:spacing w:after="100"/>
    </w:pPr>
  </w:style>
  <w:style w:type="paragraph" w:styleId="2">
    <w:name w:val="toc 2"/>
    <w:basedOn w:val="a"/>
    <w:next w:val="a"/>
    <w:autoRedefine/>
    <w:uiPriority w:val="39"/>
    <w:unhideWhenUsed/>
    <w:rsid w:val="000F4260"/>
    <w:pPr>
      <w:spacing w:after="100"/>
      <w:ind w:left="220"/>
    </w:pPr>
    <w:rPr>
      <w:rFonts w:eastAsiaTheme="minorEastAsia"/>
      <w:lang w:eastAsia="ru-RU"/>
    </w:rPr>
  </w:style>
  <w:style w:type="paragraph" w:styleId="3">
    <w:name w:val="toc 3"/>
    <w:basedOn w:val="a"/>
    <w:next w:val="a"/>
    <w:autoRedefine/>
    <w:uiPriority w:val="39"/>
    <w:unhideWhenUsed/>
    <w:rsid w:val="000F4260"/>
    <w:pPr>
      <w:spacing w:after="100"/>
      <w:ind w:left="440"/>
    </w:pPr>
    <w:rPr>
      <w:rFonts w:eastAsiaTheme="minorEastAsia"/>
      <w:lang w:eastAsia="ru-RU"/>
    </w:rPr>
  </w:style>
  <w:style w:type="paragraph" w:styleId="4">
    <w:name w:val="toc 4"/>
    <w:basedOn w:val="a"/>
    <w:next w:val="a"/>
    <w:autoRedefine/>
    <w:uiPriority w:val="39"/>
    <w:unhideWhenUsed/>
    <w:rsid w:val="000F4260"/>
    <w:pPr>
      <w:spacing w:after="100"/>
      <w:ind w:left="660"/>
    </w:pPr>
    <w:rPr>
      <w:rFonts w:eastAsiaTheme="minorEastAsia"/>
      <w:lang w:eastAsia="ru-RU"/>
    </w:rPr>
  </w:style>
  <w:style w:type="paragraph" w:styleId="5">
    <w:name w:val="toc 5"/>
    <w:basedOn w:val="a"/>
    <w:next w:val="a"/>
    <w:autoRedefine/>
    <w:uiPriority w:val="39"/>
    <w:unhideWhenUsed/>
    <w:rsid w:val="000F4260"/>
    <w:pPr>
      <w:spacing w:after="100"/>
      <w:ind w:left="880"/>
    </w:pPr>
    <w:rPr>
      <w:rFonts w:eastAsiaTheme="minorEastAsia"/>
      <w:lang w:eastAsia="ru-RU"/>
    </w:rPr>
  </w:style>
  <w:style w:type="paragraph" w:styleId="6">
    <w:name w:val="toc 6"/>
    <w:basedOn w:val="a"/>
    <w:next w:val="a"/>
    <w:autoRedefine/>
    <w:uiPriority w:val="39"/>
    <w:unhideWhenUsed/>
    <w:rsid w:val="000F4260"/>
    <w:pPr>
      <w:spacing w:after="100"/>
      <w:ind w:left="1100"/>
    </w:pPr>
    <w:rPr>
      <w:rFonts w:eastAsiaTheme="minorEastAsia"/>
      <w:lang w:eastAsia="ru-RU"/>
    </w:rPr>
  </w:style>
  <w:style w:type="paragraph" w:styleId="7">
    <w:name w:val="toc 7"/>
    <w:basedOn w:val="a"/>
    <w:next w:val="a"/>
    <w:autoRedefine/>
    <w:uiPriority w:val="39"/>
    <w:unhideWhenUsed/>
    <w:rsid w:val="000F4260"/>
    <w:pPr>
      <w:spacing w:after="100"/>
      <w:ind w:left="1320"/>
    </w:pPr>
    <w:rPr>
      <w:rFonts w:eastAsiaTheme="minorEastAsia"/>
      <w:lang w:eastAsia="ru-RU"/>
    </w:rPr>
  </w:style>
  <w:style w:type="paragraph" w:styleId="8">
    <w:name w:val="toc 8"/>
    <w:basedOn w:val="a"/>
    <w:next w:val="a"/>
    <w:autoRedefine/>
    <w:uiPriority w:val="39"/>
    <w:unhideWhenUsed/>
    <w:rsid w:val="000F4260"/>
    <w:pPr>
      <w:spacing w:after="100"/>
      <w:ind w:left="1540"/>
    </w:pPr>
    <w:rPr>
      <w:rFonts w:eastAsiaTheme="minorEastAsia"/>
      <w:lang w:eastAsia="ru-RU"/>
    </w:rPr>
  </w:style>
  <w:style w:type="paragraph" w:styleId="9">
    <w:name w:val="toc 9"/>
    <w:basedOn w:val="a"/>
    <w:next w:val="a"/>
    <w:autoRedefine/>
    <w:uiPriority w:val="39"/>
    <w:unhideWhenUsed/>
    <w:rsid w:val="000F4260"/>
    <w:pPr>
      <w:spacing w:after="100"/>
      <w:ind w:left="1760"/>
    </w:pPr>
    <w:rPr>
      <w:rFonts w:eastAsiaTheme="minorEastAsia"/>
      <w:lang w:eastAsia="ru-RU"/>
    </w:rPr>
  </w:style>
  <w:style w:type="character" w:styleId="ae">
    <w:name w:val="Hyperlink"/>
    <w:basedOn w:val="a0"/>
    <w:uiPriority w:val="99"/>
    <w:unhideWhenUsed/>
    <w:rsid w:val="000F4260"/>
    <w:rPr>
      <w:color w:val="0000FF" w:themeColor="hyperlink"/>
      <w:u w:val="single"/>
    </w:rPr>
  </w:style>
  <w:style w:type="paragraph" w:styleId="af">
    <w:name w:val="footnote text"/>
    <w:aliases w:val="Текст сноски-FN,Footnote Text Char Знак Знак,Footnote Text Char Знак,single space,Tekst przypisu,Footnote text,Footnote Text Char Char Char Char,Footnote Text Char Char,Footnote Text Char Char Char Char Char,Footnote Text Char Char Char,o"/>
    <w:basedOn w:val="a"/>
    <w:link w:val="af0"/>
    <w:uiPriority w:val="99"/>
    <w:unhideWhenUsed/>
    <w:rsid w:val="00A01793"/>
    <w:pPr>
      <w:spacing w:after="0" w:line="240" w:lineRule="auto"/>
    </w:pPr>
    <w:rPr>
      <w:rFonts w:cstheme="minorHAnsi"/>
      <w:sz w:val="20"/>
      <w:szCs w:val="20"/>
    </w:rPr>
  </w:style>
  <w:style w:type="character" w:customStyle="1" w:styleId="af0">
    <w:name w:val="Текст сноски Знак"/>
    <w:aliases w:val="Текст сноски-FN Знак,Footnote Text Char Знак Знак Знак,Footnote Text Char Знак Знак1,single space Знак,Tekst przypisu Знак,Footnote text Знак,Footnote Text Char Char Char Char Знак,Footnote Text Char Char Знак,o Знак"/>
    <w:basedOn w:val="a0"/>
    <w:link w:val="af"/>
    <w:uiPriority w:val="99"/>
    <w:rsid w:val="00A01793"/>
    <w:rPr>
      <w:rFonts w:cstheme="minorHAnsi"/>
      <w:sz w:val="20"/>
      <w:szCs w:val="20"/>
    </w:rPr>
  </w:style>
  <w:style w:type="character" w:styleId="af1">
    <w:name w:val="footnote reference"/>
    <w:basedOn w:val="a0"/>
    <w:uiPriority w:val="99"/>
    <w:semiHidden/>
    <w:unhideWhenUsed/>
    <w:rsid w:val="00A017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51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4E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4E5D"/>
    <w:rPr>
      <w:rFonts w:ascii="Tahoma" w:hAnsi="Tahoma" w:cs="Tahoma"/>
      <w:sz w:val="16"/>
      <w:szCs w:val="16"/>
    </w:rPr>
  </w:style>
  <w:style w:type="table" w:customStyle="1" w:styleId="-11">
    <w:name w:val="Цветная сетка - Акцент 11"/>
    <w:basedOn w:val="a1"/>
    <w:next w:val="-1"/>
    <w:uiPriority w:val="73"/>
    <w:rsid w:val="00A44E5D"/>
    <w:pPr>
      <w:spacing w:after="0" w:line="240" w:lineRule="auto"/>
      <w:ind w:firstLine="360"/>
    </w:pPr>
    <w:rPr>
      <w:rFonts w:eastAsia="MS Mincho" w:cs="Times New Roman"/>
      <w:color w:val="062328"/>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2EEF6"/>
    </w:tcPr>
    <w:tblStylePr w:type="firstRow">
      <w:rPr>
        <w:b/>
        <w:bCs/>
      </w:rPr>
      <w:tblPr/>
      <w:tcPr>
        <w:shd w:val="clear" w:color="auto" w:fill="85DDEC"/>
      </w:tcPr>
    </w:tblStylePr>
    <w:tblStylePr w:type="lastRow">
      <w:rPr>
        <w:b/>
        <w:bCs/>
        <w:color w:val="062328"/>
      </w:rPr>
      <w:tblPr/>
      <w:tcPr>
        <w:shd w:val="clear" w:color="auto" w:fill="85DDEC"/>
      </w:tcPr>
    </w:tblStylePr>
    <w:tblStylePr w:type="firstCol">
      <w:rPr>
        <w:color w:val="FFFFFF"/>
      </w:rPr>
      <w:tblPr/>
      <w:tcPr>
        <w:shd w:val="clear" w:color="auto" w:fill="0F5B68"/>
      </w:tcPr>
    </w:tblStylePr>
    <w:tblStylePr w:type="lastCol">
      <w:rPr>
        <w:color w:val="FFFFFF"/>
      </w:rPr>
      <w:tblPr/>
      <w:tcPr>
        <w:shd w:val="clear" w:color="auto" w:fill="0F5B68"/>
      </w:tcPr>
    </w:tblStylePr>
    <w:tblStylePr w:type="band1Vert">
      <w:tblPr/>
      <w:tcPr>
        <w:shd w:val="clear" w:color="auto" w:fill="67D5E8"/>
      </w:tcPr>
    </w:tblStylePr>
    <w:tblStylePr w:type="band1Horz">
      <w:tblPr/>
      <w:tcPr>
        <w:shd w:val="clear" w:color="auto" w:fill="67D5E8"/>
      </w:tcPr>
    </w:tblStylePr>
  </w:style>
  <w:style w:type="table" w:styleId="-1">
    <w:name w:val="Colorful Grid Accent 1"/>
    <w:basedOn w:val="a1"/>
    <w:uiPriority w:val="73"/>
    <w:rsid w:val="00A44E5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
    <w:name w:val="Светлая заливка - Акцент 12"/>
    <w:basedOn w:val="a1"/>
    <w:uiPriority w:val="60"/>
    <w:rsid w:val="00A44E5D"/>
    <w:pPr>
      <w:spacing w:after="0" w:line="240" w:lineRule="auto"/>
    </w:pPr>
    <w:rPr>
      <w:rFonts w:eastAsia="MS Mincho"/>
      <w:color w:val="0F5B68"/>
      <w:lang w:eastAsia="ru-RU"/>
    </w:rPr>
    <w:tblPr>
      <w:tblStyleRowBandSize w:val="1"/>
      <w:tblStyleColBandSize w:val="1"/>
      <w:tblInd w:w="0" w:type="dxa"/>
      <w:tblBorders>
        <w:top w:val="single" w:sz="8" w:space="0" w:color="157B8C"/>
        <w:bottom w:val="single" w:sz="8" w:space="0" w:color="157B8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57B8C"/>
          <w:left w:val="nil"/>
          <w:bottom w:val="single" w:sz="8" w:space="0" w:color="157B8C"/>
          <w:right w:val="nil"/>
          <w:insideH w:val="nil"/>
          <w:insideV w:val="nil"/>
        </w:tcBorders>
      </w:tcPr>
    </w:tblStylePr>
    <w:tblStylePr w:type="lastRow">
      <w:pPr>
        <w:spacing w:before="0" w:after="0" w:line="240" w:lineRule="auto"/>
      </w:pPr>
      <w:rPr>
        <w:b/>
        <w:bCs/>
      </w:rPr>
      <w:tblPr/>
      <w:tcPr>
        <w:tcBorders>
          <w:top w:val="single" w:sz="8" w:space="0" w:color="157B8C"/>
          <w:left w:val="nil"/>
          <w:bottom w:val="single" w:sz="8" w:space="0" w:color="157B8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3"/>
      </w:tcPr>
    </w:tblStylePr>
    <w:tblStylePr w:type="band1Horz">
      <w:tblPr/>
      <w:tcPr>
        <w:tcBorders>
          <w:left w:val="nil"/>
          <w:right w:val="nil"/>
          <w:insideH w:val="nil"/>
          <w:insideV w:val="nil"/>
        </w:tcBorders>
        <w:shd w:val="clear" w:color="auto" w:fill="B3EAF3"/>
      </w:tcPr>
    </w:tblStylePr>
  </w:style>
  <w:style w:type="table" w:customStyle="1" w:styleId="-110">
    <w:name w:val="Светлая заливка - Акцент 11"/>
    <w:basedOn w:val="a1"/>
    <w:uiPriority w:val="60"/>
    <w:rsid w:val="00A44E5D"/>
    <w:pPr>
      <w:spacing w:after="0" w:line="240" w:lineRule="auto"/>
    </w:pPr>
    <w:rPr>
      <w:rFonts w:eastAsiaTheme="minorEastAsia"/>
      <w:color w:val="365F91" w:themeColor="accent1" w:themeShade="BF"/>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List Paragraph"/>
    <w:basedOn w:val="a"/>
    <w:link w:val="a6"/>
    <w:uiPriority w:val="34"/>
    <w:qFormat/>
    <w:rsid w:val="00A44E5D"/>
    <w:pPr>
      <w:spacing w:after="0" w:line="240" w:lineRule="auto"/>
      <w:ind w:left="720" w:firstLine="360"/>
      <w:contextualSpacing/>
    </w:pPr>
    <w:rPr>
      <w:rFonts w:eastAsiaTheme="minorEastAsia"/>
    </w:rPr>
  </w:style>
  <w:style w:type="character" w:customStyle="1" w:styleId="a6">
    <w:name w:val="Абзац списка Знак"/>
    <w:link w:val="a5"/>
    <w:uiPriority w:val="34"/>
    <w:locked/>
    <w:rsid w:val="00A44E5D"/>
    <w:rPr>
      <w:rFonts w:eastAsiaTheme="minorEastAsia"/>
    </w:rPr>
  </w:style>
  <w:style w:type="character" w:customStyle="1" w:styleId="10">
    <w:name w:val="Заголовок 1 Знак"/>
    <w:basedOn w:val="a0"/>
    <w:link w:val="1"/>
    <w:uiPriority w:val="9"/>
    <w:rsid w:val="00CE5135"/>
    <w:rPr>
      <w:rFonts w:asciiTheme="majorHAnsi" w:eastAsiaTheme="majorEastAsia" w:hAnsiTheme="majorHAnsi" w:cstheme="majorBidi"/>
      <w:b/>
      <w:bCs/>
      <w:color w:val="365F91" w:themeColor="accent1" w:themeShade="BF"/>
      <w:sz w:val="28"/>
      <w:szCs w:val="28"/>
    </w:rPr>
  </w:style>
  <w:style w:type="paragraph" w:styleId="a7">
    <w:name w:val="Subtitle"/>
    <w:basedOn w:val="a"/>
    <w:next w:val="a"/>
    <w:link w:val="a8"/>
    <w:uiPriority w:val="11"/>
    <w:qFormat/>
    <w:rsid w:val="00CE51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CE5135"/>
    <w:rPr>
      <w:rFonts w:asciiTheme="majorHAnsi" w:eastAsiaTheme="majorEastAsia" w:hAnsiTheme="majorHAnsi" w:cstheme="majorBidi"/>
      <w:i/>
      <w:iCs/>
      <w:color w:val="4F81BD" w:themeColor="accent1"/>
      <w:spacing w:val="15"/>
      <w:sz w:val="24"/>
      <w:szCs w:val="24"/>
    </w:rPr>
  </w:style>
  <w:style w:type="paragraph" w:styleId="a9">
    <w:name w:val="header"/>
    <w:basedOn w:val="a"/>
    <w:link w:val="aa"/>
    <w:uiPriority w:val="99"/>
    <w:unhideWhenUsed/>
    <w:rsid w:val="000F426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F4260"/>
  </w:style>
  <w:style w:type="paragraph" w:styleId="ab">
    <w:name w:val="footer"/>
    <w:basedOn w:val="a"/>
    <w:link w:val="ac"/>
    <w:uiPriority w:val="99"/>
    <w:unhideWhenUsed/>
    <w:rsid w:val="000F426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F4260"/>
  </w:style>
  <w:style w:type="paragraph" w:styleId="ad">
    <w:name w:val="TOC Heading"/>
    <w:basedOn w:val="1"/>
    <w:next w:val="a"/>
    <w:uiPriority w:val="39"/>
    <w:semiHidden/>
    <w:unhideWhenUsed/>
    <w:qFormat/>
    <w:rsid w:val="000F4260"/>
    <w:pPr>
      <w:outlineLvl w:val="9"/>
    </w:pPr>
    <w:rPr>
      <w:lang w:eastAsia="ru-RU"/>
    </w:rPr>
  </w:style>
  <w:style w:type="paragraph" w:styleId="11">
    <w:name w:val="toc 1"/>
    <w:basedOn w:val="a"/>
    <w:next w:val="a"/>
    <w:autoRedefine/>
    <w:uiPriority w:val="39"/>
    <w:unhideWhenUsed/>
    <w:rsid w:val="000F4260"/>
    <w:pPr>
      <w:spacing w:after="100"/>
    </w:pPr>
  </w:style>
  <w:style w:type="paragraph" w:styleId="2">
    <w:name w:val="toc 2"/>
    <w:basedOn w:val="a"/>
    <w:next w:val="a"/>
    <w:autoRedefine/>
    <w:uiPriority w:val="39"/>
    <w:unhideWhenUsed/>
    <w:rsid w:val="000F4260"/>
    <w:pPr>
      <w:spacing w:after="100"/>
      <w:ind w:left="220"/>
    </w:pPr>
    <w:rPr>
      <w:rFonts w:eastAsiaTheme="minorEastAsia"/>
      <w:lang w:eastAsia="ru-RU"/>
    </w:rPr>
  </w:style>
  <w:style w:type="paragraph" w:styleId="3">
    <w:name w:val="toc 3"/>
    <w:basedOn w:val="a"/>
    <w:next w:val="a"/>
    <w:autoRedefine/>
    <w:uiPriority w:val="39"/>
    <w:unhideWhenUsed/>
    <w:rsid w:val="000F4260"/>
    <w:pPr>
      <w:spacing w:after="100"/>
      <w:ind w:left="440"/>
    </w:pPr>
    <w:rPr>
      <w:rFonts w:eastAsiaTheme="minorEastAsia"/>
      <w:lang w:eastAsia="ru-RU"/>
    </w:rPr>
  </w:style>
  <w:style w:type="paragraph" w:styleId="4">
    <w:name w:val="toc 4"/>
    <w:basedOn w:val="a"/>
    <w:next w:val="a"/>
    <w:autoRedefine/>
    <w:uiPriority w:val="39"/>
    <w:unhideWhenUsed/>
    <w:rsid w:val="000F4260"/>
    <w:pPr>
      <w:spacing w:after="100"/>
      <w:ind w:left="660"/>
    </w:pPr>
    <w:rPr>
      <w:rFonts w:eastAsiaTheme="minorEastAsia"/>
      <w:lang w:eastAsia="ru-RU"/>
    </w:rPr>
  </w:style>
  <w:style w:type="paragraph" w:styleId="5">
    <w:name w:val="toc 5"/>
    <w:basedOn w:val="a"/>
    <w:next w:val="a"/>
    <w:autoRedefine/>
    <w:uiPriority w:val="39"/>
    <w:unhideWhenUsed/>
    <w:rsid w:val="000F4260"/>
    <w:pPr>
      <w:spacing w:after="100"/>
      <w:ind w:left="880"/>
    </w:pPr>
    <w:rPr>
      <w:rFonts w:eastAsiaTheme="minorEastAsia"/>
      <w:lang w:eastAsia="ru-RU"/>
    </w:rPr>
  </w:style>
  <w:style w:type="paragraph" w:styleId="6">
    <w:name w:val="toc 6"/>
    <w:basedOn w:val="a"/>
    <w:next w:val="a"/>
    <w:autoRedefine/>
    <w:uiPriority w:val="39"/>
    <w:unhideWhenUsed/>
    <w:rsid w:val="000F4260"/>
    <w:pPr>
      <w:spacing w:after="100"/>
      <w:ind w:left="1100"/>
    </w:pPr>
    <w:rPr>
      <w:rFonts w:eastAsiaTheme="minorEastAsia"/>
      <w:lang w:eastAsia="ru-RU"/>
    </w:rPr>
  </w:style>
  <w:style w:type="paragraph" w:styleId="7">
    <w:name w:val="toc 7"/>
    <w:basedOn w:val="a"/>
    <w:next w:val="a"/>
    <w:autoRedefine/>
    <w:uiPriority w:val="39"/>
    <w:unhideWhenUsed/>
    <w:rsid w:val="000F4260"/>
    <w:pPr>
      <w:spacing w:after="100"/>
      <w:ind w:left="1320"/>
    </w:pPr>
    <w:rPr>
      <w:rFonts w:eastAsiaTheme="minorEastAsia"/>
      <w:lang w:eastAsia="ru-RU"/>
    </w:rPr>
  </w:style>
  <w:style w:type="paragraph" w:styleId="8">
    <w:name w:val="toc 8"/>
    <w:basedOn w:val="a"/>
    <w:next w:val="a"/>
    <w:autoRedefine/>
    <w:uiPriority w:val="39"/>
    <w:unhideWhenUsed/>
    <w:rsid w:val="000F4260"/>
    <w:pPr>
      <w:spacing w:after="100"/>
      <w:ind w:left="1540"/>
    </w:pPr>
    <w:rPr>
      <w:rFonts w:eastAsiaTheme="minorEastAsia"/>
      <w:lang w:eastAsia="ru-RU"/>
    </w:rPr>
  </w:style>
  <w:style w:type="paragraph" w:styleId="9">
    <w:name w:val="toc 9"/>
    <w:basedOn w:val="a"/>
    <w:next w:val="a"/>
    <w:autoRedefine/>
    <w:uiPriority w:val="39"/>
    <w:unhideWhenUsed/>
    <w:rsid w:val="000F4260"/>
    <w:pPr>
      <w:spacing w:after="100"/>
      <w:ind w:left="1760"/>
    </w:pPr>
    <w:rPr>
      <w:rFonts w:eastAsiaTheme="minorEastAsia"/>
      <w:lang w:eastAsia="ru-RU"/>
    </w:rPr>
  </w:style>
  <w:style w:type="character" w:styleId="ae">
    <w:name w:val="Hyperlink"/>
    <w:basedOn w:val="a0"/>
    <w:uiPriority w:val="99"/>
    <w:unhideWhenUsed/>
    <w:rsid w:val="000F4260"/>
    <w:rPr>
      <w:color w:val="0000FF" w:themeColor="hyperlink"/>
      <w:u w:val="single"/>
    </w:rPr>
  </w:style>
  <w:style w:type="paragraph" w:styleId="af">
    <w:name w:val="footnote text"/>
    <w:aliases w:val="Текст сноски-FN,Footnote Text Char Знак Знак,Footnote Text Char Знак,single space,Tekst przypisu,Footnote text,Footnote Text Char Char Char Char,Footnote Text Char Char,Footnote Text Char Char Char Char Char,Footnote Text Char Char Char,o"/>
    <w:basedOn w:val="a"/>
    <w:link w:val="af0"/>
    <w:uiPriority w:val="99"/>
    <w:unhideWhenUsed/>
    <w:rsid w:val="00A01793"/>
    <w:pPr>
      <w:spacing w:after="0" w:line="240" w:lineRule="auto"/>
    </w:pPr>
    <w:rPr>
      <w:rFonts w:cstheme="minorHAnsi"/>
      <w:sz w:val="20"/>
      <w:szCs w:val="20"/>
    </w:rPr>
  </w:style>
  <w:style w:type="character" w:customStyle="1" w:styleId="af0">
    <w:name w:val="Текст сноски Знак"/>
    <w:aliases w:val="Текст сноски-FN Знак,Footnote Text Char Знак Знак Знак,Footnote Text Char Знак Знак1,single space Знак,Tekst przypisu Знак,Footnote text Знак,Footnote Text Char Char Char Char Знак,Footnote Text Char Char Знак,o Знак"/>
    <w:basedOn w:val="a0"/>
    <w:link w:val="af"/>
    <w:uiPriority w:val="99"/>
    <w:rsid w:val="00A01793"/>
    <w:rPr>
      <w:rFonts w:cstheme="minorHAnsi"/>
      <w:sz w:val="20"/>
      <w:szCs w:val="20"/>
    </w:rPr>
  </w:style>
  <w:style w:type="character" w:styleId="af1">
    <w:name w:val="footnote reference"/>
    <w:basedOn w:val="a0"/>
    <w:uiPriority w:val="99"/>
    <w:semiHidden/>
    <w:unhideWhenUsed/>
    <w:rsid w:val="00A017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5430">
      <w:bodyDiv w:val="1"/>
      <w:marLeft w:val="0"/>
      <w:marRight w:val="0"/>
      <w:marTop w:val="0"/>
      <w:marBottom w:val="0"/>
      <w:divBdr>
        <w:top w:val="none" w:sz="0" w:space="0" w:color="auto"/>
        <w:left w:val="none" w:sz="0" w:space="0" w:color="auto"/>
        <w:bottom w:val="none" w:sz="0" w:space="0" w:color="auto"/>
        <w:right w:val="none" w:sz="0" w:space="0" w:color="auto"/>
      </w:divBdr>
    </w:div>
    <w:div w:id="113587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3.wmf"/><Relationship Id="rId33"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0.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7.xm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image" Target="media/image4.emf"/><Relationship Id="rId30" Type="http://schemas.openxmlformats.org/officeDocument/2006/relationships/image" Target="media/image5.wmf"/><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Misha%20works\2015\&#1053;&#1048;&#1060;&#1048;%20&#1085;&#1077;&#1092;&#1090;&#1100;\&#1057;&#1090;&#1072;&#1090;&#1080;&#1089;&#1090;&#1080;&#1082;&#1072;2.xlsx" TargetMode="External"/><Relationship Id="rId2" Type="http://schemas.openxmlformats.org/officeDocument/2006/relationships/image" Target="../media/image2.jpeg"/><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D:\Misha%20works\2015\&#1053;&#1048;&#1060;&#1048;%20&#1085;&#1077;&#1092;&#1090;&#1100;\&#1057;&#1090;&#1072;&#1090;&#1080;&#1089;&#1090;&#1080;&#1082;&#107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Misha%20works\2015\&#1053;&#1048;&#1060;&#1048;%20&#1085;&#1077;&#1092;&#1090;&#1100;\&#1057;&#1090;&#1072;&#1090;&#1080;&#1089;&#1090;&#1080;&#1082;&#1072;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Misha%20works\2015\&#1053;&#1048;&#1060;&#1048;%20&#1085;&#1077;&#1092;&#1090;&#1100;\&#1057;&#1090;&#1072;&#1090;&#1080;&#1089;&#1090;&#1080;&#1082;&#1072;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Misha%20works\2015\&#1053;&#1048;&#1060;&#1048;%20&#1085;&#1077;&#1092;&#1090;&#1100;\&#1057;&#1090;&#1072;&#1090;&#1080;&#1089;&#1090;&#1080;&#1082;&#1072;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Misha%20works\2015\&#1053;&#1048;&#1060;&#1048;%20&#1085;&#1077;&#1092;&#1090;&#1100;\&#1057;&#1090;&#1072;&#1090;&#1080;&#1089;&#1090;&#1080;&#1082;&#1072;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Misha%20works\2015\&#1053;&#1048;&#1060;&#1048;%20&#1085;&#1077;&#1092;&#1090;&#1100;\&#1057;&#1090;&#1072;&#1090;&#1080;&#1089;&#1090;&#1080;&#1082;&#1072;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Misha%20works\2015\&#1053;&#1048;&#1060;&#1048;%20&#1085;&#1077;&#1092;&#1090;&#1100;\&#1057;&#1090;&#1072;&#1090;&#1080;&#1089;&#1090;&#1080;&#1082;&#1072;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H:\&#1053;&#1044;&#1044;\&#1057;&#1090;&#1072;&#1090;&#1080;&#1089;&#1090;&#1080;&#1082;&#107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1053;&#1044;&#1044;\&#1057;&#1090;&#1072;&#1090;&#1080;&#1089;&#1090;&#1080;&#1082;&#107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H:\&#1053;&#1044;&#1044;\&#1057;&#1090;&#1072;&#1090;&#1080;&#1089;&#1090;&#1080;&#1082;&#107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isha%20works\2015\&#1053;&#1048;&#1060;&#1048;%20&#1085;&#1077;&#1092;&#1090;&#1100;\&#1057;&#1090;&#1072;&#1090;&#1080;&#1089;&#1090;&#1080;&#1082;&#1072;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Misha%20works\2015\&#1053;&#1048;&#1060;&#1048;%20&#1085;&#1077;&#1092;&#1090;&#1100;\&#1057;&#1090;&#1072;&#1090;&#1080;&#1089;&#1090;&#1080;&#1082;&#107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isha%20works\2015\&#1053;&#1048;&#1060;&#1048;%20&#1085;&#1077;&#1092;&#1090;&#1100;\&#1053;&#1072;&#1083;&#1086;&#1075;&#1086;&#1074;&#1072;&#1103;%20&#1085;&#1072;&#1075;&#1088;&#1091;&#1079;&#1082;&#1072;%20&#1087;&#1086;%20&#1086;&#1090;&#1088;&#1072;&#1089;&#1083;&#1103;&#1084;\&#1086;&#1090;&#1088;&#1072;&#1089;&#1083;&#1077;&#1074;&#1072;&#1103;%20&#1101;&#1082;&#1086;&#1085;&#1086;&#1084;&#1080;&#1082;&#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isha%20works\2015\&#1053;&#1048;&#1060;&#1048;%20&#1085;&#1077;&#1092;&#1090;&#1100;\&#1053;&#1072;&#1083;&#1086;&#1075;&#1086;&#1074;&#1072;&#1103;%20&#1085;&#1072;&#1075;&#1088;&#1091;&#1079;&#1082;&#1072;%20&#1087;&#1086;%20&#1086;&#1090;&#1088;&#1072;&#1089;&#1083;&#1103;&#1084;\&#1086;&#1090;&#1088;&#1072;&#1089;&#1083;&#1077;&#1074;&#1072;&#1103;%20&#1101;&#1082;&#1086;&#1085;&#1086;&#1084;&#1080;&#1082;&#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44;&#1080;&#1072;&#1075;&#1088;&#1072;&#1084;&#1084;&#1072;%203%20&#1074;%20Microsoft%20Office%20PowerPoint"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isha%20works\2015\&#1053;&#1048;&#1060;&#1048;%20&#1085;&#1077;&#1092;&#1090;&#1100;\&#1057;&#1090;&#1072;&#1090;&#1080;&#1089;&#1090;&#1080;&#1082;&#107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Misha%20works\2015\&#1053;&#1048;&#1060;&#1048;%20&#1085;&#1077;&#1092;&#1090;&#1100;\&#1057;&#1090;&#1072;&#1090;&#1080;&#1089;&#1090;&#1080;&#1082;&#107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Misha%20works\2015\&#1053;&#1048;&#1060;&#1048;%20&#1085;&#1077;&#1092;&#1090;&#1100;\&#1057;&#1090;&#1072;&#1090;&#1080;&#1089;&#1090;&#1080;&#1082;&#107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Misha%20works\2015\&#1053;&#1048;&#1060;&#1048;%20&#1085;&#1077;&#1092;&#1090;&#1100;\&#1057;&#1090;&#1072;&#1090;&#1080;&#1089;&#1090;&#1080;&#1082;&#107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4619869494586"/>
          <c:y val="7.1795053916824794E-2"/>
          <c:w val="0.74876146756651896"/>
          <c:h val="0.91925054084528701"/>
        </c:manualLayout>
      </c:layout>
      <c:barChart>
        <c:barDir val="bar"/>
        <c:grouping val="stacked"/>
        <c:varyColors val="0"/>
        <c:ser>
          <c:idx val="0"/>
          <c:order val="0"/>
          <c:tx>
            <c:strRef>
              <c:f>'Экспорт специализация'!$M$8</c:f>
              <c:strCache>
                <c:ptCount val="1"/>
                <c:pt idx="0">
                  <c:v>нефть</c:v>
                </c:pt>
              </c:strCache>
            </c:strRef>
          </c:tx>
          <c:spPr>
            <a:solidFill>
              <a:srgbClr val="002060"/>
            </a:solidFill>
          </c:spPr>
          <c:invertIfNegative val="0"/>
          <c:cat>
            <c:strRef>
              <c:f>'Экспорт специализация'!$L$9:$L$20</c:f>
              <c:strCache>
                <c:ptCount val="12"/>
                <c:pt idx="0">
                  <c:v>Ирак</c:v>
                </c:pt>
                <c:pt idx="1">
                  <c:v>Кувейт</c:v>
                </c:pt>
                <c:pt idx="2">
                  <c:v>Венесуэла</c:v>
                </c:pt>
                <c:pt idx="3">
                  <c:v>Катар</c:v>
                </c:pt>
                <c:pt idx="4">
                  <c:v>Саудовская Аравия</c:v>
                </c:pt>
                <c:pt idx="5">
                  <c:v>Казахстан</c:v>
                </c:pt>
                <c:pt idx="6">
                  <c:v>Россия</c:v>
                </c:pt>
                <c:pt idx="7">
                  <c:v>ОАЭ</c:v>
                </c:pt>
                <c:pt idx="8">
                  <c:v>Иран</c:v>
                </c:pt>
                <c:pt idx="9">
                  <c:v>Норвегия</c:v>
                </c:pt>
                <c:pt idx="10">
                  <c:v>Канада</c:v>
                </c:pt>
                <c:pt idx="11">
                  <c:v>Мексика</c:v>
                </c:pt>
              </c:strCache>
            </c:strRef>
          </c:cat>
          <c:val>
            <c:numRef>
              <c:f>'Экспорт специализация'!$M$9:$M$20</c:f>
              <c:numCache>
                <c:formatCode>0%</c:formatCode>
                <c:ptCount val="12"/>
                <c:pt idx="0">
                  <c:v>0.98818250846587496</c:v>
                </c:pt>
                <c:pt idx="1">
                  <c:v>0.68522538697091395</c:v>
                </c:pt>
                <c:pt idx="2">
                  <c:v>0.75602871425922202</c:v>
                </c:pt>
                <c:pt idx="3">
                  <c:v>0.16326501595432999</c:v>
                </c:pt>
                <c:pt idx="4">
                  <c:v>0.77352214323147706</c:v>
                </c:pt>
                <c:pt idx="5">
                  <c:v>0.68548332547683299</c:v>
                </c:pt>
                <c:pt idx="6">
                  <c:v>0.310042947109397</c:v>
                </c:pt>
                <c:pt idx="7">
                  <c:v>0.47309473707139899</c:v>
                </c:pt>
                <c:pt idx="8">
                  <c:v>0.62795105188215805</c:v>
                </c:pt>
                <c:pt idx="9">
                  <c:v>0.30920627742134799</c:v>
                </c:pt>
                <c:pt idx="10">
                  <c:v>0.186330602477772</c:v>
                </c:pt>
                <c:pt idx="11">
                  <c:v>9.1188613783668798E-2</c:v>
                </c:pt>
              </c:numCache>
            </c:numRef>
          </c:val>
        </c:ser>
        <c:ser>
          <c:idx val="1"/>
          <c:order val="1"/>
          <c:tx>
            <c:strRef>
              <c:f>'Экспорт специализация'!$N$8</c:f>
              <c:strCache>
                <c:ptCount val="1"/>
                <c:pt idx="0">
                  <c:v>нефтепродукты</c:v>
                </c:pt>
              </c:strCache>
            </c:strRef>
          </c:tx>
          <c:spPr>
            <a:solidFill>
              <a:schemeClr val="tx2">
                <a:lumMod val="60000"/>
                <a:lumOff val="40000"/>
              </a:schemeClr>
            </a:solidFill>
          </c:spPr>
          <c:invertIfNegative val="0"/>
          <c:cat>
            <c:strRef>
              <c:f>'Экспорт специализация'!$L$9:$L$20</c:f>
              <c:strCache>
                <c:ptCount val="12"/>
                <c:pt idx="0">
                  <c:v>Ирак</c:v>
                </c:pt>
                <c:pt idx="1">
                  <c:v>Кувейт</c:v>
                </c:pt>
                <c:pt idx="2">
                  <c:v>Венесуэла</c:v>
                </c:pt>
                <c:pt idx="3">
                  <c:v>Катар</c:v>
                </c:pt>
                <c:pt idx="4">
                  <c:v>Саудовская Аравия</c:v>
                </c:pt>
                <c:pt idx="5">
                  <c:v>Казахстан</c:v>
                </c:pt>
                <c:pt idx="6">
                  <c:v>Россия</c:v>
                </c:pt>
                <c:pt idx="7">
                  <c:v>ОАЭ</c:v>
                </c:pt>
                <c:pt idx="8">
                  <c:v>Иран</c:v>
                </c:pt>
                <c:pt idx="9">
                  <c:v>Норвегия</c:v>
                </c:pt>
                <c:pt idx="10">
                  <c:v>Канада</c:v>
                </c:pt>
                <c:pt idx="11">
                  <c:v>Мексика</c:v>
                </c:pt>
              </c:strCache>
            </c:strRef>
          </c:cat>
          <c:val>
            <c:numRef>
              <c:f>'Экспорт специализация'!$N$9:$N$20</c:f>
              <c:numCache>
                <c:formatCode>0%</c:formatCode>
                <c:ptCount val="12"/>
                <c:pt idx="0">
                  <c:v>5.8242359555139896E-3</c:v>
                </c:pt>
                <c:pt idx="1">
                  <c:v>0.22573335994543001</c:v>
                </c:pt>
                <c:pt idx="2">
                  <c:v>0.16641946606343599</c:v>
                </c:pt>
                <c:pt idx="3">
                  <c:v>4.8445609574954702E-2</c:v>
                </c:pt>
                <c:pt idx="4">
                  <c:v>6.3755127551143806E-2</c:v>
                </c:pt>
                <c:pt idx="5">
                  <c:v>3.7960704385357702E-2</c:v>
                </c:pt>
                <c:pt idx="6">
                  <c:v>0.233066758715442</c:v>
                </c:pt>
                <c:pt idx="7">
                  <c:v>0.11931826921182</c:v>
                </c:pt>
                <c:pt idx="8">
                  <c:v>7.9058274192872896E-3</c:v>
                </c:pt>
                <c:pt idx="9">
                  <c:v>5.3151778757286702E-2</c:v>
                </c:pt>
                <c:pt idx="10">
                  <c:v>3.2122258763856798E-2</c:v>
                </c:pt>
                <c:pt idx="11">
                  <c:v>1.42168888768673E-2</c:v>
                </c:pt>
              </c:numCache>
            </c:numRef>
          </c:val>
        </c:ser>
        <c:ser>
          <c:idx val="2"/>
          <c:order val="2"/>
          <c:tx>
            <c:strRef>
              <c:f>'Экспорт специализация'!$O$8</c:f>
              <c:strCache>
                <c:ptCount val="1"/>
                <c:pt idx="0">
                  <c:v>газ</c:v>
                </c:pt>
              </c:strCache>
            </c:strRef>
          </c:tx>
          <c:spPr>
            <a:blipFill>
              <a:blip xmlns:r="http://schemas.openxmlformats.org/officeDocument/2006/relationships" r:embed="rId2"/>
              <a:tile tx="0" ty="0" sx="100000" sy="100000" flip="none" algn="tl"/>
            </a:blipFill>
          </c:spPr>
          <c:invertIfNegative val="0"/>
          <c:cat>
            <c:strRef>
              <c:f>'Экспорт специализация'!$L$9:$L$20</c:f>
              <c:strCache>
                <c:ptCount val="12"/>
                <c:pt idx="0">
                  <c:v>Ирак</c:v>
                </c:pt>
                <c:pt idx="1">
                  <c:v>Кувейт</c:v>
                </c:pt>
                <c:pt idx="2">
                  <c:v>Венесуэла</c:v>
                </c:pt>
                <c:pt idx="3">
                  <c:v>Катар</c:v>
                </c:pt>
                <c:pt idx="4">
                  <c:v>Саудовская Аравия</c:v>
                </c:pt>
                <c:pt idx="5">
                  <c:v>Казахстан</c:v>
                </c:pt>
                <c:pt idx="6">
                  <c:v>Россия</c:v>
                </c:pt>
                <c:pt idx="7">
                  <c:v>ОАЭ</c:v>
                </c:pt>
                <c:pt idx="8">
                  <c:v>Иран</c:v>
                </c:pt>
                <c:pt idx="9">
                  <c:v>Норвегия</c:v>
                </c:pt>
                <c:pt idx="10">
                  <c:v>Канада</c:v>
                </c:pt>
                <c:pt idx="11">
                  <c:v>Мексика</c:v>
                </c:pt>
              </c:strCache>
            </c:strRef>
          </c:cat>
          <c:val>
            <c:numRef>
              <c:f>'Экспорт специализация'!$O$9:$O$20</c:f>
              <c:numCache>
                <c:formatCode>0%</c:formatCode>
                <c:ptCount val="12"/>
                <c:pt idx="0">
                  <c:v>6.6811911955244401E-5</c:v>
                </c:pt>
                <c:pt idx="1">
                  <c:v>2.35935516128408E-2</c:v>
                </c:pt>
                <c:pt idx="2">
                  <c:v>1.03407078845771E-5</c:v>
                </c:pt>
                <c:pt idx="3">
                  <c:v>0.65384136016694105</c:v>
                </c:pt>
                <c:pt idx="4">
                  <c:v>1.6444385267934101E-2</c:v>
                </c:pt>
                <c:pt idx="5">
                  <c:v>4.2136850829124897E-2</c:v>
                </c:pt>
                <c:pt idx="6">
                  <c:v>0.151660927570759</c:v>
                </c:pt>
                <c:pt idx="7">
                  <c:v>7.6755891192108294E-2</c:v>
                </c:pt>
                <c:pt idx="8">
                  <c:v>2.2920395354982101E-3</c:v>
                </c:pt>
                <c:pt idx="9">
                  <c:v>0.275329971986225</c:v>
                </c:pt>
                <c:pt idx="10">
                  <c:v>3.5545238385278101E-2</c:v>
                </c:pt>
                <c:pt idx="11">
                  <c:v>5.27237849959978E-5</c:v>
                </c:pt>
              </c:numCache>
            </c:numRef>
          </c:val>
        </c:ser>
        <c:dLbls>
          <c:showLegendKey val="0"/>
          <c:showVal val="0"/>
          <c:showCatName val="0"/>
          <c:showSerName val="0"/>
          <c:showPercent val="0"/>
          <c:showBubbleSize val="0"/>
        </c:dLbls>
        <c:gapWidth val="66"/>
        <c:overlap val="100"/>
        <c:axId val="132320640"/>
        <c:axId val="30352512"/>
      </c:barChart>
      <c:catAx>
        <c:axId val="132320640"/>
        <c:scaling>
          <c:orientation val="maxMin"/>
        </c:scaling>
        <c:delete val="0"/>
        <c:axPos val="l"/>
        <c:majorTickMark val="out"/>
        <c:minorTickMark val="none"/>
        <c:tickLblPos val="nextTo"/>
        <c:crossAx val="30352512"/>
        <c:crosses val="autoZero"/>
        <c:auto val="1"/>
        <c:lblAlgn val="ctr"/>
        <c:lblOffset val="100"/>
        <c:noMultiLvlLbl val="0"/>
      </c:catAx>
      <c:valAx>
        <c:axId val="30352512"/>
        <c:scaling>
          <c:orientation val="minMax"/>
          <c:max val="1"/>
        </c:scaling>
        <c:delete val="0"/>
        <c:axPos val="t"/>
        <c:numFmt formatCode="0%" sourceLinked="1"/>
        <c:majorTickMark val="out"/>
        <c:minorTickMark val="none"/>
        <c:tickLblPos val="nextTo"/>
        <c:crossAx val="132320640"/>
        <c:crosses val="autoZero"/>
        <c:crossBetween val="between"/>
      </c:valAx>
    </c:plotArea>
    <c:legend>
      <c:legendPos val="b"/>
      <c:layout>
        <c:manualLayout>
          <c:xMode val="edge"/>
          <c:yMode val="edge"/>
          <c:x val="0.55250505203936695"/>
          <c:y val="0.84810394225985397"/>
          <c:w val="0.40118116516871"/>
          <c:h val="0.150535682635701"/>
        </c:manualLayout>
      </c:layout>
      <c:overlay val="0"/>
    </c:legend>
    <c:plotVisOnly val="1"/>
    <c:dispBlanksAs val="gap"/>
    <c:showDLblsOverMax val="0"/>
  </c:chart>
  <c:spPr>
    <a:ln>
      <a:noFill/>
    </a:ln>
  </c:spPr>
  <c:txPr>
    <a:bodyPr/>
    <a:lstStyle/>
    <a:p>
      <a:pPr>
        <a:defRPr sz="900">
          <a:latin typeface="Times New Roman" pitchFamily="18" charset="0"/>
          <a:cs typeface="Times New Roman" pitchFamily="18" charset="0"/>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068130155605907E-2"/>
          <c:y val="5.1400554097404502E-2"/>
          <c:w val="0.87624320397450906"/>
          <c:h val="0.79523549139690797"/>
        </c:manualLayout>
      </c:layout>
      <c:barChart>
        <c:barDir val="col"/>
        <c:grouping val="clustered"/>
        <c:varyColors val="0"/>
        <c:ser>
          <c:idx val="0"/>
          <c:order val="0"/>
          <c:tx>
            <c:strRef>
              <c:f>'по странам'!$A$4</c:f>
              <c:strCache>
                <c:ptCount val="1"/>
                <c:pt idx="0">
                  <c:v>Запасы, млрд. барр. (прав. шкала)</c:v>
                </c:pt>
              </c:strCache>
            </c:strRef>
          </c:tx>
          <c:spPr>
            <a:solidFill>
              <a:schemeClr val="tx2">
                <a:lumMod val="20000"/>
                <a:lumOff val="80000"/>
              </a:schemeClr>
            </a:solidFill>
          </c:spPr>
          <c:invertIfNegative val="0"/>
          <c:cat>
            <c:numRef>
              <c:f>'по странам'!$B$3:$AJ$3</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'по странам'!$B$78:$AJ$78</c:f>
              <c:numCache>
                <c:formatCode>General</c:formatCode>
                <c:ptCount val="35"/>
                <c:pt idx="0">
                  <c:v>8.4375</c:v>
                </c:pt>
                <c:pt idx="1">
                  <c:v>7.875</c:v>
                </c:pt>
                <c:pt idx="2">
                  <c:v>7.4625000953674299</c:v>
                </c:pt>
                <c:pt idx="3">
                  <c:v>6.9375</c:v>
                </c:pt>
                <c:pt idx="4">
                  <c:v>6</c:v>
                </c:pt>
                <c:pt idx="5">
                  <c:v>5.6249999999999778</c:v>
                </c:pt>
                <c:pt idx="6">
                  <c:v>5.3249998092651207</c:v>
                </c:pt>
                <c:pt idx="7">
                  <c:v>5.175000190734881</c:v>
                </c:pt>
                <c:pt idx="8">
                  <c:v>4.2750000953674334</c:v>
                </c:pt>
                <c:pt idx="9">
                  <c:v>3.8250000476837198</c:v>
                </c:pt>
                <c:pt idx="10">
                  <c:v>4.0124998092651376</c:v>
                </c:pt>
                <c:pt idx="11">
                  <c:v>4.1624999046325701</c:v>
                </c:pt>
                <c:pt idx="12">
                  <c:v>4.5749998092651376</c:v>
                </c:pt>
                <c:pt idx="13">
                  <c:v>4.537499904632587</c:v>
                </c:pt>
                <c:pt idx="14">
                  <c:v>4.3124999999999956</c:v>
                </c:pt>
                <c:pt idx="15">
                  <c:v>4.537499904632587</c:v>
                </c:pt>
                <c:pt idx="16">
                  <c:v>4.987500190734881</c:v>
                </c:pt>
                <c:pt idx="17">
                  <c:v>5.175000190734881</c:v>
                </c:pt>
                <c:pt idx="18">
                  <c:v>5.1374998092651376</c:v>
                </c:pt>
                <c:pt idx="19">
                  <c:v>4.987500190734881</c:v>
                </c:pt>
                <c:pt idx="20">
                  <c:v>4.7249999046325701</c:v>
                </c:pt>
                <c:pt idx="21">
                  <c:v>4.537499904632587</c:v>
                </c:pt>
                <c:pt idx="22">
                  <c:v>4.4625000953674299</c:v>
                </c:pt>
                <c:pt idx="23">
                  <c:v>4.282499790191677</c:v>
                </c:pt>
                <c:pt idx="24">
                  <c:v>3.9974999427795401</c:v>
                </c:pt>
                <c:pt idx="25">
                  <c:v>3.8699998855590798</c:v>
                </c:pt>
                <c:pt idx="26">
                  <c:v>3.5924999713897612</c:v>
                </c:pt>
                <c:pt idx="27">
                  <c:v>3.3900001049041579</c:v>
                </c:pt>
                <c:pt idx="28">
                  <c:v>3.0599999427795401</c:v>
                </c:pt>
                <c:pt idx="29">
                  <c:v>2.83500003814697</c:v>
                </c:pt>
                <c:pt idx="30">
                  <c:v>2.8050000667571999</c:v>
                </c:pt>
                <c:pt idx="31">
                  <c:v>3.0975000858306898</c:v>
                </c:pt>
                <c:pt idx="32">
                  <c:v>3.0374999046325701</c:v>
                </c:pt>
                <c:pt idx="33">
                  <c:v>3.0299999713897701</c:v>
                </c:pt>
                <c:pt idx="34">
                  <c:v>3.0299999713897701</c:v>
                </c:pt>
              </c:numCache>
            </c:numRef>
          </c:val>
        </c:ser>
        <c:dLbls>
          <c:showLegendKey val="0"/>
          <c:showVal val="0"/>
          <c:showCatName val="0"/>
          <c:showSerName val="0"/>
          <c:showPercent val="0"/>
          <c:showBubbleSize val="0"/>
        </c:dLbls>
        <c:gapWidth val="50"/>
        <c:axId val="149893504"/>
        <c:axId val="149883520"/>
      </c:barChart>
      <c:lineChart>
        <c:grouping val="standard"/>
        <c:varyColors val="0"/>
        <c:ser>
          <c:idx val="1"/>
          <c:order val="1"/>
          <c:tx>
            <c:strRef>
              <c:f>'по странам'!$A$5</c:f>
              <c:strCache>
                <c:ptCount val="1"/>
                <c:pt idx="0">
                  <c:v>Добыча, тыс. барр. в сутки</c:v>
                </c:pt>
              </c:strCache>
            </c:strRef>
          </c:tx>
          <c:spPr>
            <a:ln>
              <a:solidFill>
                <a:srgbClr val="002060"/>
              </a:solidFill>
            </a:ln>
          </c:spPr>
          <c:marker>
            <c:symbol val="none"/>
          </c:marker>
          <c:cat>
            <c:numRef>
              <c:f>'по странам'!$B$3:$AJ$3</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'по странам'!$B$79:$AJ$79</c:f>
              <c:numCache>
                <c:formatCode>General</c:formatCode>
                <c:ptCount val="35"/>
                <c:pt idx="0">
                  <c:v>1676.1385792349699</c:v>
                </c:pt>
                <c:pt idx="1">
                  <c:v>1867.71112328767</c:v>
                </c:pt>
                <c:pt idx="2">
                  <c:v>2166.7166027397202</c:v>
                </c:pt>
                <c:pt idx="3">
                  <c:v>2422.07375342465</c:v>
                </c:pt>
                <c:pt idx="4">
                  <c:v>2652.1277595628399</c:v>
                </c:pt>
                <c:pt idx="5">
                  <c:v>2695.4223561643812</c:v>
                </c:pt>
                <c:pt idx="6">
                  <c:v>2690.9876164383518</c:v>
                </c:pt>
                <c:pt idx="7">
                  <c:v>2612.3218630136898</c:v>
                </c:pt>
                <c:pt idx="8">
                  <c:v>2413.9010928961811</c:v>
                </c:pt>
                <c:pt idx="9">
                  <c:v>1943.2941369862999</c:v>
                </c:pt>
                <c:pt idx="10">
                  <c:v>1932.8096438356099</c:v>
                </c:pt>
                <c:pt idx="11">
                  <c:v>1933.5553972602711</c:v>
                </c:pt>
                <c:pt idx="12">
                  <c:v>1995.8924590163849</c:v>
                </c:pt>
                <c:pt idx="13">
                  <c:v>2134.8367123287612</c:v>
                </c:pt>
                <c:pt idx="14">
                  <c:v>2694.4375890410902</c:v>
                </c:pt>
                <c:pt idx="15">
                  <c:v>2769.1562739726</c:v>
                </c:pt>
                <c:pt idx="16">
                  <c:v>2755.0978142076501</c:v>
                </c:pt>
                <c:pt idx="17">
                  <c:v>2721.44920547945</c:v>
                </c:pt>
                <c:pt idx="18">
                  <c:v>2827.8836164383601</c:v>
                </c:pt>
                <c:pt idx="19">
                  <c:v>2930.1809315068399</c:v>
                </c:pt>
                <c:pt idx="20">
                  <c:v>2714.1125866192501</c:v>
                </c:pt>
                <c:pt idx="21">
                  <c:v>2517.957144370595</c:v>
                </c:pt>
                <c:pt idx="22">
                  <c:v>2504.3932839160002</c:v>
                </c:pt>
                <c:pt idx="23">
                  <c:v>2295.8016099115198</c:v>
                </c:pt>
                <c:pt idx="24">
                  <c:v>2063.8110391761402</c:v>
                </c:pt>
                <c:pt idx="25">
                  <c:v>1842.8164879221599</c:v>
                </c:pt>
                <c:pt idx="26">
                  <c:v>1666.325575841616</c:v>
                </c:pt>
                <c:pt idx="27">
                  <c:v>1658.7247245339249</c:v>
                </c:pt>
                <c:pt idx="28">
                  <c:v>1555.06475893737</c:v>
                </c:pt>
                <c:pt idx="29">
                  <c:v>1476.95263626875</c:v>
                </c:pt>
                <c:pt idx="30">
                  <c:v>1361.2623328012701</c:v>
                </c:pt>
                <c:pt idx="31">
                  <c:v>1115.95378629781</c:v>
                </c:pt>
                <c:pt idx="32">
                  <c:v>948.91732944063449</c:v>
                </c:pt>
                <c:pt idx="33">
                  <c:v>866.70391925698368</c:v>
                </c:pt>
                <c:pt idx="34">
                  <c:v>850.26323287671255</c:v>
                </c:pt>
              </c:numCache>
            </c:numRef>
          </c:val>
          <c:smooth val="0"/>
        </c:ser>
        <c:ser>
          <c:idx val="2"/>
          <c:order val="2"/>
          <c:tx>
            <c:strRef>
              <c:f>'по странам'!$A$6</c:f>
              <c:strCache>
                <c:ptCount val="1"/>
                <c:pt idx="0">
                  <c:v>Потребление, тыс. барр. в сутки</c:v>
                </c:pt>
              </c:strCache>
            </c:strRef>
          </c:tx>
          <c:spPr>
            <a:ln>
              <a:solidFill>
                <a:srgbClr val="FF0000"/>
              </a:solidFill>
            </a:ln>
          </c:spPr>
          <c:marker>
            <c:symbol val="none"/>
          </c:marker>
          <c:cat>
            <c:numRef>
              <c:f>'по странам'!$B$3:$AJ$3</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'по странам'!$B$80:$AJ$80</c:f>
              <c:numCache>
                <c:formatCode>[&gt;=0.05]0.0;[=0]\-;\^</c:formatCode>
                <c:ptCount val="35"/>
                <c:pt idx="0">
                  <c:v>1646.5398360655699</c:v>
                </c:pt>
                <c:pt idx="1">
                  <c:v>1537.6980273972599</c:v>
                </c:pt>
                <c:pt idx="2">
                  <c:v>1559.2398630136911</c:v>
                </c:pt>
                <c:pt idx="3">
                  <c:v>1516.1761917808201</c:v>
                </c:pt>
                <c:pt idx="4">
                  <c:v>1823.57092896174</c:v>
                </c:pt>
                <c:pt idx="5">
                  <c:v>1615.1609041095801</c:v>
                </c:pt>
                <c:pt idx="6">
                  <c:v>1639.6116712328701</c:v>
                </c:pt>
                <c:pt idx="7">
                  <c:v>1604.1314520547901</c:v>
                </c:pt>
                <c:pt idx="8">
                  <c:v>1698.3455464480801</c:v>
                </c:pt>
                <c:pt idx="9">
                  <c:v>1743.7028767123199</c:v>
                </c:pt>
                <c:pt idx="10">
                  <c:v>1753.83473972602</c:v>
                </c:pt>
                <c:pt idx="11">
                  <c:v>1752.5495616438311</c:v>
                </c:pt>
                <c:pt idx="12">
                  <c:v>1771.275519125687</c:v>
                </c:pt>
                <c:pt idx="13">
                  <c:v>1788.3361369863001</c:v>
                </c:pt>
                <c:pt idx="14">
                  <c:v>1777.58331506849</c:v>
                </c:pt>
                <c:pt idx="15">
                  <c:v>1758.55194520547</c:v>
                </c:pt>
                <c:pt idx="16">
                  <c:v>1798.4375956284109</c:v>
                </c:pt>
                <c:pt idx="17">
                  <c:v>1753.9712876712299</c:v>
                </c:pt>
                <c:pt idx="18">
                  <c:v>1743.12734246575</c:v>
                </c:pt>
                <c:pt idx="19">
                  <c:v>1729.1431506849301</c:v>
                </c:pt>
                <c:pt idx="20">
                  <c:v>1703.9208196721311</c:v>
                </c:pt>
                <c:pt idx="21">
                  <c:v>1703.796246575334</c:v>
                </c:pt>
                <c:pt idx="22">
                  <c:v>1700.10610958904</c:v>
                </c:pt>
                <c:pt idx="23">
                  <c:v>1722.7626301369801</c:v>
                </c:pt>
                <c:pt idx="24">
                  <c:v>1766.2474043715799</c:v>
                </c:pt>
                <c:pt idx="25">
                  <c:v>1806.2134604540099</c:v>
                </c:pt>
                <c:pt idx="26">
                  <c:v>1787.6684222993511</c:v>
                </c:pt>
                <c:pt idx="27">
                  <c:v>1716.4533811189399</c:v>
                </c:pt>
                <c:pt idx="28">
                  <c:v>1683.40356003748</c:v>
                </c:pt>
                <c:pt idx="29">
                  <c:v>1609.74098057828</c:v>
                </c:pt>
                <c:pt idx="30">
                  <c:v>1587.58741627469</c:v>
                </c:pt>
                <c:pt idx="31">
                  <c:v>1531.8692874189901</c:v>
                </c:pt>
                <c:pt idx="32">
                  <c:v>1520.0036551900439</c:v>
                </c:pt>
                <c:pt idx="33">
                  <c:v>1494.39580930338</c:v>
                </c:pt>
                <c:pt idx="34">
                  <c:v>1501.283240282525</c:v>
                </c:pt>
              </c:numCache>
            </c:numRef>
          </c:val>
          <c:smooth val="0"/>
        </c:ser>
        <c:dLbls>
          <c:showLegendKey val="0"/>
          <c:showVal val="0"/>
          <c:showCatName val="0"/>
          <c:showSerName val="0"/>
          <c:showPercent val="0"/>
          <c:showBubbleSize val="0"/>
        </c:dLbls>
        <c:marker val="1"/>
        <c:smooth val="0"/>
        <c:axId val="149880192"/>
        <c:axId val="149881984"/>
      </c:lineChart>
      <c:catAx>
        <c:axId val="149880192"/>
        <c:scaling>
          <c:orientation val="minMax"/>
        </c:scaling>
        <c:delete val="0"/>
        <c:axPos val="b"/>
        <c:numFmt formatCode="General" sourceLinked="1"/>
        <c:majorTickMark val="out"/>
        <c:minorTickMark val="none"/>
        <c:tickLblPos val="nextTo"/>
        <c:crossAx val="149881984"/>
        <c:crosses val="autoZero"/>
        <c:auto val="1"/>
        <c:lblAlgn val="ctr"/>
        <c:lblOffset val="100"/>
        <c:tickLblSkip val="2"/>
        <c:noMultiLvlLbl val="0"/>
      </c:catAx>
      <c:valAx>
        <c:axId val="149881984"/>
        <c:scaling>
          <c:orientation val="minMax"/>
          <c:max val="4000"/>
        </c:scaling>
        <c:delete val="0"/>
        <c:axPos val="l"/>
        <c:numFmt formatCode="General" sourceLinked="1"/>
        <c:majorTickMark val="out"/>
        <c:minorTickMark val="none"/>
        <c:tickLblPos val="nextTo"/>
        <c:crossAx val="149880192"/>
        <c:crosses val="autoZero"/>
        <c:crossBetween val="between"/>
      </c:valAx>
      <c:valAx>
        <c:axId val="149883520"/>
        <c:scaling>
          <c:orientation val="minMax"/>
        </c:scaling>
        <c:delete val="0"/>
        <c:axPos val="r"/>
        <c:numFmt formatCode="General" sourceLinked="1"/>
        <c:majorTickMark val="out"/>
        <c:minorTickMark val="none"/>
        <c:tickLblPos val="nextTo"/>
        <c:crossAx val="149893504"/>
        <c:crosses val="max"/>
        <c:crossBetween val="between"/>
      </c:valAx>
      <c:catAx>
        <c:axId val="149893504"/>
        <c:scaling>
          <c:orientation val="minMax"/>
        </c:scaling>
        <c:delete val="1"/>
        <c:axPos val="b"/>
        <c:numFmt formatCode="General" sourceLinked="1"/>
        <c:majorTickMark val="out"/>
        <c:minorTickMark val="none"/>
        <c:tickLblPos val="none"/>
        <c:crossAx val="149883520"/>
        <c:crosses val="autoZero"/>
        <c:auto val="1"/>
        <c:lblAlgn val="ctr"/>
        <c:lblOffset val="100"/>
        <c:noMultiLvlLbl val="0"/>
      </c:catAx>
    </c:plotArea>
    <c:legend>
      <c:legendPos val="r"/>
      <c:layout>
        <c:manualLayout>
          <c:xMode val="edge"/>
          <c:yMode val="edge"/>
          <c:x val="0.551129422558157"/>
          <c:y val="3.3288695340426201E-2"/>
          <c:w val="0.37838706826531998"/>
          <c:h val="0.21874416739574301"/>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068130155605907E-2"/>
          <c:y val="5.1400554097404502E-2"/>
          <c:w val="0.87624320397450906"/>
          <c:h val="0.79523549139690797"/>
        </c:manualLayout>
      </c:layout>
      <c:barChart>
        <c:barDir val="col"/>
        <c:grouping val="clustered"/>
        <c:varyColors val="0"/>
        <c:ser>
          <c:idx val="0"/>
          <c:order val="0"/>
          <c:tx>
            <c:strRef>
              <c:f>'по странам'!$A$4</c:f>
              <c:strCache>
                <c:ptCount val="1"/>
                <c:pt idx="0">
                  <c:v>Запасы, млрд. барр. (прав. шкала)</c:v>
                </c:pt>
              </c:strCache>
            </c:strRef>
          </c:tx>
          <c:spPr>
            <a:solidFill>
              <a:schemeClr val="tx2">
                <a:lumMod val="20000"/>
                <a:lumOff val="80000"/>
              </a:schemeClr>
            </a:solidFill>
          </c:spPr>
          <c:invertIfNegative val="0"/>
          <c:cat>
            <c:numRef>
              <c:f>'по странам'!$B$3:$AJ$3</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'по странам'!$B$103:$AJ$103</c:f>
              <c:numCache>
                <c:formatCode>General</c:formatCode>
                <c:ptCount val="35"/>
                <c:pt idx="0">
                  <c:v>168.02999877929599</c:v>
                </c:pt>
                <c:pt idx="1">
                  <c:v>167.8500061035154</c:v>
                </c:pt>
                <c:pt idx="2">
                  <c:v>165.48399353027301</c:v>
                </c:pt>
                <c:pt idx="3">
                  <c:v>168.84800720214801</c:v>
                </c:pt>
                <c:pt idx="4">
                  <c:v>171.71000671386659</c:v>
                </c:pt>
                <c:pt idx="5">
                  <c:v>171.49000549316401</c:v>
                </c:pt>
                <c:pt idx="6">
                  <c:v>169.7440032958971</c:v>
                </c:pt>
                <c:pt idx="7">
                  <c:v>169.58500671386699</c:v>
                </c:pt>
                <c:pt idx="8">
                  <c:v>254.9889984130858</c:v>
                </c:pt>
                <c:pt idx="9">
                  <c:v>260.04998779296898</c:v>
                </c:pt>
                <c:pt idx="10">
                  <c:v>260.34201049804602</c:v>
                </c:pt>
                <c:pt idx="11">
                  <c:v>260.93600463866971</c:v>
                </c:pt>
                <c:pt idx="12">
                  <c:v>261.20300292968699</c:v>
                </c:pt>
                <c:pt idx="13">
                  <c:v>261.35501098632801</c:v>
                </c:pt>
                <c:pt idx="14">
                  <c:v>261.37399291992102</c:v>
                </c:pt>
                <c:pt idx="15">
                  <c:v>261.45001220703023</c:v>
                </c:pt>
                <c:pt idx="16">
                  <c:v>261.44400024414</c:v>
                </c:pt>
                <c:pt idx="17">
                  <c:v>261.5409851074221</c:v>
                </c:pt>
                <c:pt idx="18">
                  <c:v>261.5419921875</c:v>
                </c:pt>
                <c:pt idx="19">
                  <c:v>262.78399658203023</c:v>
                </c:pt>
                <c:pt idx="20">
                  <c:v>262.76599121093699</c:v>
                </c:pt>
                <c:pt idx="21">
                  <c:v>262.69699096679523</c:v>
                </c:pt>
                <c:pt idx="22">
                  <c:v>262.79000854492023</c:v>
                </c:pt>
                <c:pt idx="23">
                  <c:v>262.73001098632722</c:v>
                </c:pt>
                <c:pt idx="24">
                  <c:v>264.30999755859222</c:v>
                </c:pt>
                <c:pt idx="25">
                  <c:v>264.21099853515602</c:v>
                </c:pt>
                <c:pt idx="26">
                  <c:v>264.25100708007722</c:v>
                </c:pt>
                <c:pt idx="27">
                  <c:v>264.20901489257722</c:v>
                </c:pt>
                <c:pt idx="28">
                  <c:v>264.06298828125</c:v>
                </c:pt>
                <c:pt idx="29">
                  <c:v>264.58999633789</c:v>
                </c:pt>
                <c:pt idx="30">
                  <c:v>264.51599121093699</c:v>
                </c:pt>
                <c:pt idx="31">
                  <c:v>265.40499877929523</c:v>
                </c:pt>
                <c:pt idx="32">
                  <c:v>265.8500061035158</c:v>
                </c:pt>
                <c:pt idx="33">
                  <c:v>265.8500061035158</c:v>
                </c:pt>
                <c:pt idx="34">
                  <c:v>267</c:v>
                </c:pt>
              </c:numCache>
            </c:numRef>
          </c:val>
        </c:ser>
        <c:dLbls>
          <c:showLegendKey val="0"/>
          <c:showVal val="0"/>
          <c:showCatName val="0"/>
          <c:showSerName val="0"/>
          <c:showPercent val="0"/>
          <c:showBubbleSize val="0"/>
        </c:dLbls>
        <c:gapWidth val="50"/>
        <c:axId val="150011904"/>
        <c:axId val="149940480"/>
      </c:barChart>
      <c:lineChart>
        <c:grouping val="standard"/>
        <c:varyColors val="0"/>
        <c:ser>
          <c:idx val="1"/>
          <c:order val="1"/>
          <c:tx>
            <c:strRef>
              <c:f>'по странам'!$A$5</c:f>
              <c:strCache>
                <c:ptCount val="1"/>
                <c:pt idx="0">
                  <c:v>Добыча, тыс. барр. в сутки</c:v>
                </c:pt>
              </c:strCache>
            </c:strRef>
          </c:tx>
          <c:spPr>
            <a:ln>
              <a:solidFill>
                <a:srgbClr val="002060"/>
              </a:solidFill>
            </a:ln>
          </c:spPr>
          <c:marker>
            <c:symbol val="none"/>
          </c:marker>
          <c:cat>
            <c:numRef>
              <c:f>'по странам'!$B$3:$AJ$3</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'по странам'!$B$104:$AJ$104</c:f>
              <c:numCache>
                <c:formatCode>General</c:formatCode>
                <c:ptCount val="35"/>
                <c:pt idx="0">
                  <c:v>10270</c:v>
                </c:pt>
                <c:pt idx="1">
                  <c:v>10256</c:v>
                </c:pt>
                <c:pt idx="2">
                  <c:v>6961</c:v>
                </c:pt>
                <c:pt idx="3">
                  <c:v>4951</c:v>
                </c:pt>
                <c:pt idx="4">
                  <c:v>4534</c:v>
                </c:pt>
                <c:pt idx="5">
                  <c:v>3601</c:v>
                </c:pt>
                <c:pt idx="6">
                  <c:v>5208</c:v>
                </c:pt>
                <c:pt idx="7">
                  <c:v>4599</c:v>
                </c:pt>
                <c:pt idx="8">
                  <c:v>5720</c:v>
                </c:pt>
                <c:pt idx="9">
                  <c:v>5635</c:v>
                </c:pt>
                <c:pt idx="10">
                  <c:v>7105</c:v>
                </c:pt>
                <c:pt idx="11">
                  <c:v>8820</c:v>
                </c:pt>
                <c:pt idx="12">
                  <c:v>9098</c:v>
                </c:pt>
                <c:pt idx="13">
                  <c:v>8962</c:v>
                </c:pt>
                <c:pt idx="14">
                  <c:v>9084</c:v>
                </c:pt>
                <c:pt idx="15">
                  <c:v>9092.137519843307</c:v>
                </c:pt>
                <c:pt idx="16">
                  <c:v>9244.203024461267</c:v>
                </c:pt>
                <c:pt idx="17">
                  <c:v>9427.6161188848801</c:v>
                </c:pt>
                <c:pt idx="18">
                  <c:v>9448.5866533394092</c:v>
                </c:pt>
                <c:pt idx="19">
                  <c:v>8800.1103519695407</c:v>
                </c:pt>
                <c:pt idx="20">
                  <c:v>9469.6653324999716</c:v>
                </c:pt>
                <c:pt idx="21">
                  <c:v>9188.1303155769328</c:v>
                </c:pt>
                <c:pt idx="22">
                  <c:v>8907.4003155769205</c:v>
                </c:pt>
                <c:pt idx="23">
                  <c:v>10140.859976346101</c:v>
                </c:pt>
                <c:pt idx="24">
                  <c:v>10457.9112243653</c:v>
                </c:pt>
                <c:pt idx="25">
                  <c:v>10931.281395211499</c:v>
                </c:pt>
                <c:pt idx="26">
                  <c:v>10670.922795082701</c:v>
                </c:pt>
                <c:pt idx="27">
                  <c:v>10267.736621836129</c:v>
                </c:pt>
                <c:pt idx="28">
                  <c:v>10662.73430263342</c:v>
                </c:pt>
                <c:pt idx="29">
                  <c:v>9663.3414627028706</c:v>
                </c:pt>
                <c:pt idx="30">
                  <c:v>10074.569222607979</c:v>
                </c:pt>
                <c:pt idx="31">
                  <c:v>11143.745769757599</c:v>
                </c:pt>
                <c:pt idx="32">
                  <c:v>11634.54363815362</c:v>
                </c:pt>
                <c:pt idx="33">
                  <c:v>11393.0768414752</c:v>
                </c:pt>
                <c:pt idx="34">
                  <c:v>11504.745769757599</c:v>
                </c:pt>
              </c:numCache>
            </c:numRef>
          </c:val>
          <c:smooth val="0"/>
        </c:ser>
        <c:ser>
          <c:idx val="2"/>
          <c:order val="2"/>
          <c:tx>
            <c:strRef>
              <c:f>'по странам'!$A$6</c:f>
              <c:strCache>
                <c:ptCount val="1"/>
                <c:pt idx="0">
                  <c:v>Потребление, тыс. барр. в сутки</c:v>
                </c:pt>
              </c:strCache>
            </c:strRef>
          </c:tx>
          <c:spPr>
            <a:ln>
              <a:solidFill>
                <a:srgbClr val="FF0000"/>
              </a:solidFill>
            </a:ln>
          </c:spPr>
          <c:marker>
            <c:symbol val="none"/>
          </c:marker>
          <c:cat>
            <c:numRef>
              <c:f>'по странам'!$B$3:$AJ$3</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'по странам'!$B$105:$AJ$105</c:f>
              <c:numCache>
                <c:formatCode>General</c:formatCode>
                <c:ptCount val="35"/>
                <c:pt idx="0">
                  <c:v>607.08633879781405</c:v>
                </c:pt>
                <c:pt idx="1">
                  <c:v>727.36457534246449</c:v>
                </c:pt>
                <c:pt idx="2">
                  <c:v>804.61654794520496</c:v>
                </c:pt>
                <c:pt idx="3">
                  <c:v>877.86106849314706</c:v>
                </c:pt>
                <c:pt idx="4">
                  <c:v>929.24907103825308</c:v>
                </c:pt>
                <c:pt idx="5">
                  <c:v>954.64753424657658</c:v>
                </c:pt>
                <c:pt idx="6">
                  <c:v>949.36084931506798</c:v>
                </c:pt>
                <c:pt idx="7">
                  <c:v>989.66750684931446</c:v>
                </c:pt>
                <c:pt idx="8">
                  <c:v>986.53980869672102</c:v>
                </c:pt>
                <c:pt idx="9">
                  <c:v>979.053616767123</c:v>
                </c:pt>
                <c:pt idx="10">
                  <c:v>1158.0229589410901</c:v>
                </c:pt>
                <c:pt idx="11">
                  <c:v>1235.28761641643</c:v>
                </c:pt>
                <c:pt idx="12">
                  <c:v>1189.0778689726701</c:v>
                </c:pt>
                <c:pt idx="13">
                  <c:v>1225.4317264383501</c:v>
                </c:pt>
                <c:pt idx="14">
                  <c:v>1358.70131552054</c:v>
                </c:pt>
                <c:pt idx="15">
                  <c:v>1298.5971587797601</c:v>
                </c:pt>
                <c:pt idx="16">
                  <c:v>1369.93139387978</c:v>
                </c:pt>
                <c:pt idx="17">
                  <c:v>1423.304448347985</c:v>
                </c:pt>
                <c:pt idx="18">
                  <c:v>1532.0226005152499</c:v>
                </c:pt>
                <c:pt idx="19">
                  <c:v>1541.708063177153</c:v>
                </c:pt>
                <c:pt idx="20">
                  <c:v>1578.00398832786</c:v>
                </c:pt>
                <c:pt idx="21">
                  <c:v>1622.2555072739699</c:v>
                </c:pt>
                <c:pt idx="22">
                  <c:v>1668.0192325616399</c:v>
                </c:pt>
                <c:pt idx="23">
                  <c:v>1780.3366849178001</c:v>
                </c:pt>
                <c:pt idx="24">
                  <c:v>1913.02514601092</c:v>
                </c:pt>
                <c:pt idx="25">
                  <c:v>2013.4230621704401</c:v>
                </c:pt>
                <c:pt idx="26">
                  <c:v>2084.4010987128499</c:v>
                </c:pt>
                <c:pt idx="27">
                  <c:v>2202.55612839778</c:v>
                </c:pt>
                <c:pt idx="28">
                  <c:v>2377.6322260815459</c:v>
                </c:pt>
                <c:pt idx="29">
                  <c:v>2593.0362151549002</c:v>
                </c:pt>
                <c:pt idx="30">
                  <c:v>2793.2873548472912</c:v>
                </c:pt>
                <c:pt idx="31">
                  <c:v>2837.5121365110708</c:v>
                </c:pt>
                <c:pt idx="32">
                  <c:v>2990.7573766836922</c:v>
                </c:pt>
                <c:pt idx="33">
                  <c:v>2999.5496664618131</c:v>
                </c:pt>
                <c:pt idx="34">
                  <c:v>3185.4557924860569</c:v>
                </c:pt>
              </c:numCache>
            </c:numRef>
          </c:val>
          <c:smooth val="0"/>
        </c:ser>
        <c:dLbls>
          <c:showLegendKey val="0"/>
          <c:showVal val="0"/>
          <c:showCatName val="0"/>
          <c:showSerName val="0"/>
          <c:showPercent val="0"/>
          <c:showBubbleSize val="0"/>
        </c:dLbls>
        <c:marker val="1"/>
        <c:smooth val="0"/>
        <c:axId val="149924864"/>
        <c:axId val="149938944"/>
      </c:lineChart>
      <c:catAx>
        <c:axId val="149924864"/>
        <c:scaling>
          <c:orientation val="minMax"/>
        </c:scaling>
        <c:delete val="0"/>
        <c:axPos val="b"/>
        <c:numFmt formatCode="General" sourceLinked="1"/>
        <c:majorTickMark val="out"/>
        <c:minorTickMark val="none"/>
        <c:tickLblPos val="nextTo"/>
        <c:crossAx val="149938944"/>
        <c:crosses val="autoZero"/>
        <c:auto val="1"/>
        <c:lblAlgn val="ctr"/>
        <c:lblOffset val="100"/>
        <c:tickLblSkip val="2"/>
        <c:noMultiLvlLbl val="0"/>
      </c:catAx>
      <c:valAx>
        <c:axId val="149938944"/>
        <c:scaling>
          <c:orientation val="minMax"/>
        </c:scaling>
        <c:delete val="0"/>
        <c:axPos val="l"/>
        <c:numFmt formatCode="General" sourceLinked="1"/>
        <c:majorTickMark val="out"/>
        <c:minorTickMark val="none"/>
        <c:tickLblPos val="nextTo"/>
        <c:crossAx val="149924864"/>
        <c:crosses val="autoZero"/>
        <c:crossBetween val="between"/>
      </c:valAx>
      <c:valAx>
        <c:axId val="149940480"/>
        <c:scaling>
          <c:orientation val="minMax"/>
          <c:max val="400"/>
        </c:scaling>
        <c:delete val="0"/>
        <c:axPos val="r"/>
        <c:numFmt formatCode="General" sourceLinked="1"/>
        <c:majorTickMark val="out"/>
        <c:minorTickMark val="none"/>
        <c:tickLblPos val="nextTo"/>
        <c:crossAx val="150011904"/>
        <c:crosses val="max"/>
        <c:crossBetween val="between"/>
      </c:valAx>
      <c:catAx>
        <c:axId val="150011904"/>
        <c:scaling>
          <c:orientation val="minMax"/>
        </c:scaling>
        <c:delete val="1"/>
        <c:axPos val="b"/>
        <c:numFmt formatCode="General" sourceLinked="1"/>
        <c:majorTickMark val="out"/>
        <c:minorTickMark val="none"/>
        <c:tickLblPos val="none"/>
        <c:crossAx val="149940480"/>
        <c:crosses val="autoZero"/>
        <c:auto val="1"/>
        <c:lblAlgn val="ctr"/>
        <c:lblOffset val="100"/>
        <c:noMultiLvlLbl val="0"/>
      </c:catAx>
    </c:plotArea>
    <c:legend>
      <c:legendPos val="r"/>
      <c:layout>
        <c:manualLayout>
          <c:xMode val="edge"/>
          <c:yMode val="edge"/>
          <c:x val="7.3321298252352604E-2"/>
          <c:y val="2.7201808107320199E-2"/>
          <c:w val="0.39976601000770301"/>
          <c:h val="0.21874416739574301"/>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068130155605907E-2"/>
          <c:y val="5.1400554097404502E-2"/>
          <c:w val="0.87624320397450906"/>
          <c:h val="0.79523549139690797"/>
        </c:manualLayout>
      </c:layout>
      <c:barChart>
        <c:barDir val="col"/>
        <c:grouping val="clustered"/>
        <c:varyColors val="0"/>
        <c:ser>
          <c:idx val="0"/>
          <c:order val="0"/>
          <c:tx>
            <c:strRef>
              <c:f>'по странам'!$A$4</c:f>
              <c:strCache>
                <c:ptCount val="1"/>
                <c:pt idx="0">
                  <c:v>Запасы, млрд. барр. (прав. шкала)</c:v>
                </c:pt>
              </c:strCache>
            </c:strRef>
          </c:tx>
          <c:spPr>
            <a:solidFill>
              <a:schemeClr val="tx2">
                <a:lumMod val="20000"/>
                <a:lumOff val="80000"/>
              </a:schemeClr>
            </a:solidFill>
          </c:spPr>
          <c:invertIfNegative val="0"/>
          <c:cat>
            <c:numRef>
              <c:f>'по странам'!$B$3:$AJ$3</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'по странам'!$B$128:$AJ$128</c:f>
              <c:numCache>
                <c:formatCode>General</c:formatCode>
                <c:ptCount val="35"/>
                <c:pt idx="0">
                  <c:v>30.409999847412099</c:v>
                </c:pt>
                <c:pt idx="1">
                  <c:v>32.175998687744098</c:v>
                </c:pt>
                <c:pt idx="2">
                  <c:v>32.3540000915525</c:v>
                </c:pt>
                <c:pt idx="3">
                  <c:v>32.340000152587798</c:v>
                </c:pt>
                <c:pt idx="4">
                  <c:v>32.490001678466797</c:v>
                </c:pt>
                <c:pt idx="5">
                  <c:v>32.990001678466797</c:v>
                </c:pt>
                <c:pt idx="6">
                  <c:v>97.2030029296875</c:v>
                </c:pt>
                <c:pt idx="7">
                  <c:v>98.105003356933139</c:v>
                </c:pt>
                <c:pt idx="8">
                  <c:v>98.105003356933139</c:v>
                </c:pt>
                <c:pt idx="9">
                  <c:v>98.105003356933139</c:v>
                </c:pt>
                <c:pt idx="10">
                  <c:v>98.09999847412098</c:v>
                </c:pt>
                <c:pt idx="11">
                  <c:v>98.09999847412098</c:v>
                </c:pt>
                <c:pt idx="12">
                  <c:v>98.09999847412098</c:v>
                </c:pt>
                <c:pt idx="13">
                  <c:v>98.09999847412098</c:v>
                </c:pt>
                <c:pt idx="14">
                  <c:v>98.09999847412098</c:v>
                </c:pt>
                <c:pt idx="15">
                  <c:v>98.09999847412098</c:v>
                </c:pt>
                <c:pt idx="16">
                  <c:v>97.800003051757798</c:v>
                </c:pt>
                <c:pt idx="17">
                  <c:v>97.800003051757798</c:v>
                </c:pt>
                <c:pt idx="18">
                  <c:v>97.800003051757798</c:v>
                </c:pt>
                <c:pt idx="19">
                  <c:v>97.800003051757798</c:v>
                </c:pt>
                <c:pt idx="20">
                  <c:v>97.800003051757798</c:v>
                </c:pt>
                <c:pt idx="21">
                  <c:v>97.800003051757798</c:v>
                </c:pt>
                <c:pt idx="22">
                  <c:v>97.800003051757798</c:v>
                </c:pt>
                <c:pt idx="23">
                  <c:v>97.800003051757798</c:v>
                </c:pt>
                <c:pt idx="24">
                  <c:v>97.800003051757798</c:v>
                </c:pt>
                <c:pt idx="25">
                  <c:v>97.800003051757798</c:v>
                </c:pt>
                <c:pt idx="26">
                  <c:v>97.800003051757798</c:v>
                </c:pt>
                <c:pt idx="27">
                  <c:v>97.800003051757798</c:v>
                </c:pt>
                <c:pt idx="28">
                  <c:v>97.800003051757798</c:v>
                </c:pt>
                <c:pt idx="29">
                  <c:v>97.800003051757798</c:v>
                </c:pt>
                <c:pt idx="30">
                  <c:v>97.800003051757798</c:v>
                </c:pt>
                <c:pt idx="31">
                  <c:v>97.800003051757798</c:v>
                </c:pt>
                <c:pt idx="32">
                  <c:v>97.800003051757798</c:v>
                </c:pt>
                <c:pt idx="33">
                  <c:v>97.800003051757798</c:v>
                </c:pt>
                <c:pt idx="34">
                  <c:v>97.800003051757798</c:v>
                </c:pt>
              </c:numCache>
            </c:numRef>
          </c:val>
        </c:ser>
        <c:dLbls>
          <c:showLegendKey val="0"/>
          <c:showVal val="0"/>
          <c:showCatName val="0"/>
          <c:showSerName val="0"/>
          <c:showPercent val="0"/>
          <c:showBubbleSize val="0"/>
        </c:dLbls>
        <c:gapWidth val="50"/>
        <c:axId val="150043648"/>
        <c:axId val="150042112"/>
      </c:barChart>
      <c:lineChart>
        <c:grouping val="standard"/>
        <c:varyColors val="0"/>
        <c:ser>
          <c:idx val="1"/>
          <c:order val="1"/>
          <c:tx>
            <c:strRef>
              <c:f>'по странам'!$A$5</c:f>
              <c:strCache>
                <c:ptCount val="1"/>
                <c:pt idx="0">
                  <c:v>Добыча, тыс. барр. в сутки</c:v>
                </c:pt>
              </c:strCache>
            </c:strRef>
          </c:tx>
          <c:spPr>
            <a:ln>
              <a:solidFill>
                <a:srgbClr val="002060"/>
              </a:solidFill>
            </a:ln>
          </c:spPr>
          <c:marker>
            <c:symbol val="none"/>
          </c:marker>
          <c:cat>
            <c:numRef>
              <c:f>'по странам'!$B$3:$AJ$3</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'по странам'!$B$129:$AJ$129</c:f>
              <c:numCache>
                <c:formatCode>General</c:formatCode>
                <c:ptCount val="35"/>
                <c:pt idx="0">
                  <c:v>1745</c:v>
                </c:pt>
                <c:pt idx="1">
                  <c:v>1540</c:v>
                </c:pt>
                <c:pt idx="2">
                  <c:v>1375</c:v>
                </c:pt>
                <c:pt idx="3">
                  <c:v>1296</c:v>
                </c:pt>
                <c:pt idx="4">
                  <c:v>1283</c:v>
                </c:pt>
                <c:pt idx="5">
                  <c:v>1260</c:v>
                </c:pt>
                <c:pt idx="6">
                  <c:v>1594</c:v>
                </c:pt>
                <c:pt idx="7">
                  <c:v>1603</c:v>
                </c:pt>
                <c:pt idx="8">
                  <c:v>1620</c:v>
                </c:pt>
                <c:pt idx="9">
                  <c:v>2024</c:v>
                </c:pt>
                <c:pt idx="10">
                  <c:v>2283</c:v>
                </c:pt>
                <c:pt idx="11">
                  <c:v>2639</c:v>
                </c:pt>
                <c:pt idx="12">
                  <c:v>2510</c:v>
                </c:pt>
                <c:pt idx="13">
                  <c:v>2443</c:v>
                </c:pt>
                <c:pt idx="14">
                  <c:v>2482</c:v>
                </c:pt>
                <c:pt idx="15">
                  <c:v>2401</c:v>
                </c:pt>
                <c:pt idx="16">
                  <c:v>2519</c:v>
                </c:pt>
                <c:pt idx="17">
                  <c:v>2620</c:v>
                </c:pt>
                <c:pt idx="18">
                  <c:v>2687</c:v>
                </c:pt>
                <c:pt idx="19">
                  <c:v>2583</c:v>
                </c:pt>
                <c:pt idx="20">
                  <c:v>2659.9493659999898</c:v>
                </c:pt>
                <c:pt idx="21">
                  <c:v>2561.2461370000001</c:v>
                </c:pt>
                <c:pt idx="22">
                  <c:v>2438.529219</c:v>
                </c:pt>
                <c:pt idx="23">
                  <c:v>2722.1404109999999</c:v>
                </c:pt>
                <c:pt idx="24">
                  <c:v>2836.1699619999831</c:v>
                </c:pt>
                <c:pt idx="25">
                  <c:v>2922.2945479452101</c:v>
                </c:pt>
                <c:pt idx="26">
                  <c:v>3098.8099863013622</c:v>
                </c:pt>
                <c:pt idx="27">
                  <c:v>3001.3698465753469</c:v>
                </c:pt>
                <c:pt idx="28">
                  <c:v>3025.5752349726722</c:v>
                </c:pt>
                <c:pt idx="29">
                  <c:v>2723.1917339999959</c:v>
                </c:pt>
                <c:pt idx="30">
                  <c:v>2895.3229247612398</c:v>
                </c:pt>
                <c:pt idx="31">
                  <c:v>3325.0533424657501</c:v>
                </c:pt>
                <c:pt idx="32">
                  <c:v>3406.0738950256991</c:v>
                </c:pt>
                <c:pt idx="33">
                  <c:v>3647.6120000000001</c:v>
                </c:pt>
                <c:pt idx="34">
                  <c:v>3711.5753424657501</c:v>
                </c:pt>
              </c:numCache>
            </c:numRef>
          </c:val>
          <c:smooth val="0"/>
        </c:ser>
        <c:ser>
          <c:idx val="2"/>
          <c:order val="2"/>
          <c:tx>
            <c:strRef>
              <c:f>'по странам'!$A$6</c:f>
              <c:strCache>
                <c:ptCount val="1"/>
                <c:pt idx="0">
                  <c:v>Потребление, тыс. барр. в сутки</c:v>
                </c:pt>
              </c:strCache>
            </c:strRef>
          </c:tx>
          <c:spPr>
            <a:ln>
              <a:solidFill>
                <a:srgbClr val="FF0000"/>
              </a:solidFill>
            </a:ln>
          </c:spPr>
          <c:marker>
            <c:symbol val="none"/>
          </c:marker>
          <c:cat>
            <c:numRef>
              <c:f>'по странам'!$B$3:$AJ$3</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'по странам'!$B$130:$AJ$130</c:f>
              <c:numCache>
                <c:formatCode>General</c:formatCode>
                <c:ptCount val="35"/>
                <c:pt idx="0">
                  <c:v>99.330218579234881</c:v>
                </c:pt>
                <c:pt idx="1">
                  <c:v>109.5565205479452</c:v>
                </c:pt>
                <c:pt idx="2">
                  <c:v>121.82430136986299</c:v>
                </c:pt>
                <c:pt idx="3">
                  <c:v>123.2461095890414</c:v>
                </c:pt>
                <c:pt idx="4">
                  <c:v>140.14366120218429</c:v>
                </c:pt>
                <c:pt idx="5">
                  <c:v>171.991698630136</c:v>
                </c:pt>
                <c:pt idx="6">
                  <c:v>207.2287945205465</c:v>
                </c:pt>
                <c:pt idx="7">
                  <c:v>227.20980821917729</c:v>
                </c:pt>
                <c:pt idx="8">
                  <c:v>270.91040983606501</c:v>
                </c:pt>
                <c:pt idx="9">
                  <c:v>285.40216438356202</c:v>
                </c:pt>
                <c:pt idx="10">
                  <c:v>300.49991780821762</c:v>
                </c:pt>
                <c:pt idx="11">
                  <c:v>365.4300273972591</c:v>
                </c:pt>
                <c:pt idx="12">
                  <c:v>366.71699453551889</c:v>
                </c:pt>
                <c:pt idx="13">
                  <c:v>381.61726027397202</c:v>
                </c:pt>
                <c:pt idx="14">
                  <c:v>398.98227397260098</c:v>
                </c:pt>
                <c:pt idx="15">
                  <c:v>399.72797260273899</c:v>
                </c:pt>
                <c:pt idx="16">
                  <c:v>385.25404371584779</c:v>
                </c:pt>
                <c:pt idx="17">
                  <c:v>392.85520547945202</c:v>
                </c:pt>
                <c:pt idx="18">
                  <c:v>391.10775342465701</c:v>
                </c:pt>
                <c:pt idx="19">
                  <c:v>383.221863013698</c:v>
                </c:pt>
                <c:pt idx="20">
                  <c:v>380.14497267759498</c:v>
                </c:pt>
                <c:pt idx="21">
                  <c:v>380.91616438356101</c:v>
                </c:pt>
                <c:pt idx="22">
                  <c:v>411.89515068493102</c:v>
                </c:pt>
                <c:pt idx="23">
                  <c:v>453.14931506849263</c:v>
                </c:pt>
                <c:pt idx="24">
                  <c:v>483.92838797814068</c:v>
                </c:pt>
                <c:pt idx="25">
                  <c:v>503.81761643835608</c:v>
                </c:pt>
                <c:pt idx="26">
                  <c:v>540.37498630136895</c:v>
                </c:pt>
                <c:pt idx="27">
                  <c:v>579.66846575342299</c:v>
                </c:pt>
                <c:pt idx="28">
                  <c:v>601.57300546448005</c:v>
                </c:pt>
                <c:pt idx="29">
                  <c:v>592.68394520547895</c:v>
                </c:pt>
                <c:pt idx="30">
                  <c:v>644.56504109588946</c:v>
                </c:pt>
                <c:pt idx="31">
                  <c:v>727.71145205479399</c:v>
                </c:pt>
                <c:pt idx="32">
                  <c:v>753.92663934426196</c:v>
                </c:pt>
                <c:pt idx="33">
                  <c:v>787.269487868493</c:v>
                </c:pt>
                <c:pt idx="34">
                  <c:v>873.04104184657501</c:v>
                </c:pt>
              </c:numCache>
            </c:numRef>
          </c:val>
          <c:smooth val="0"/>
        </c:ser>
        <c:dLbls>
          <c:showLegendKey val="0"/>
          <c:showVal val="0"/>
          <c:showCatName val="0"/>
          <c:showSerName val="0"/>
          <c:showPercent val="0"/>
          <c:showBubbleSize val="0"/>
        </c:dLbls>
        <c:marker val="1"/>
        <c:smooth val="0"/>
        <c:axId val="150038784"/>
        <c:axId val="150040576"/>
      </c:lineChart>
      <c:catAx>
        <c:axId val="150038784"/>
        <c:scaling>
          <c:orientation val="minMax"/>
        </c:scaling>
        <c:delete val="0"/>
        <c:axPos val="b"/>
        <c:numFmt formatCode="General" sourceLinked="1"/>
        <c:majorTickMark val="out"/>
        <c:minorTickMark val="none"/>
        <c:tickLblPos val="nextTo"/>
        <c:crossAx val="150040576"/>
        <c:crosses val="autoZero"/>
        <c:auto val="1"/>
        <c:lblAlgn val="ctr"/>
        <c:lblOffset val="100"/>
        <c:tickLblSkip val="2"/>
        <c:noMultiLvlLbl val="0"/>
      </c:catAx>
      <c:valAx>
        <c:axId val="150040576"/>
        <c:scaling>
          <c:orientation val="minMax"/>
        </c:scaling>
        <c:delete val="0"/>
        <c:axPos val="l"/>
        <c:numFmt formatCode="General" sourceLinked="1"/>
        <c:majorTickMark val="out"/>
        <c:minorTickMark val="none"/>
        <c:tickLblPos val="nextTo"/>
        <c:crossAx val="150038784"/>
        <c:crosses val="autoZero"/>
        <c:crossBetween val="between"/>
      </c:valAx>
      <c:valAx>
        <c:axId val="150042112"/>
        <c:scaling>
          <c:orientation val="minMax"/>
          <c:max val="150"/>
        </c:scaling>
        <c:delete val="0"/>
        <c:axPos val="r"/>
        <c:numFmt formatCode="General" sourceLinked="1"/>
        <c:majorTickMark val="out"/>
        <c:minorTickMark val="none"/>
        <c:tickLblPos val="nextTo"/>
        <c:crossAx val="150043648"/>
        <c:crosses val="max"/>
        <c:crossBetween val="between"/>
        <c:majorUnit val="50"/>
      </c:valAx>
      <c:catAx>
        <c:axId val="150043648"/>
        <c:scaling>
          <c:orientation val="minMax"/>
        </c:scaling>
        <c:delete val="1"/>
        <c:axPos val="b"/>
        <c:numFmt formatCode="General" sourceLinked="1"/>
        <c:majorTickMark val="out"/>
        <c:minorTickMark val="none"/>
        <c:tickLblPos val="none"/>
        <c:crossAx val="150042112"/>
        <c:crosses val="autoZero"/>
        <c:auto val="1"/>
        <c:lblAlgn val="ctr"/>
        <c:lblOffset val="100"/>
        <c:noMultiLvlLbl val="0"/>
      </c:catAx>
    </c:plotArea>
    <c:legend>
      <c:legendPos val="r"/>
      <c:layout>
        <c:manualLayout>
          <c:xMode val="edge"/>
          <c:yMode val="edge"/>
          <c:x val="7.3321298252352604E-2"/>
          <c:y val="2.7201808107320299E-2"/>
          <c:w val="0.41686916340161001"/>
          <c:h val="0.21874416739574301"/>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068130155605907E-2"/>
          <c:y val="5.1400554097404502E-2"/>
          <c:w val="0.87624320397450794"/>
          <c:h val="0.79523549139690797"/>
        </c:manualLayout>
      </c:layout>
      <c:barChart>
        <c:barDir val="col"/>
        <c:grouping val="clustered"/>
        <c:varyColors val="0"/>
        <c:ser>
          <c:idx val="0"/>
          <c:order val="0"/>
          <c:tx>
            <c:strRef>
              <c:f>'по странам'!$A$4</c:f>
              <c:strCache>
                <c:ptCount val="1"/>
                <c:pt idx="0">
                  <c:v>Запасы, млрд. барр. (прав. шкала)</c:v>
                </c:pt>
              </c:strCache>
            </c:strRef>
          </c:tx>
          <c:spPr>
            <a:solidFill>
              <a:schemeClr val="tx2">
                <a:lumMod val="20000"/>
                <a:lumOff val="80000"/>
              </a:schemeClr>
            </a:solidFill>
          </c:spPr>
          <c:invertIfNegative val="0"/>
          <c:cat>
            <c:numRef>
              <c:f>'по странам'!$B$3:$AJ$3</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'по странам'!$B$4:$AJ$4</c:f>
              <c:numCache>
                <c:formatCode>General</c:formatCode>
                <c:ptCount val="35"/>
                <c:pt idx="0">
                  <c:v>1.3179669380187999</c:v>
                </c:pt>
                <c:pt idx="1">
                  <c:v>1.47584116458893</c:v>
                </c:pt>
                <c:pt idx="2">
                  <c:v>1.71843922138214</c:v>
                </c:pt>
                <c:pt idx="3">
                  <c:v>1.8498333692550699</c:v>
                </c:pt>
                <c:pt idx="4">
                  <c:v>2.0160100460052481</c:v>
                </c:pt>
                <c:pt idx="5">
                  <c:v>2.1680600643157999</c:v>
                </c:pt>
                <c:pt idx="6">
                  <c:v>2.3584148883819598</c:v>
                </c:pt>
                <c:pt idx="7">
                  <c:v>2.5507571697235072</c:v>
                </c:pt>
                <c:pt idx="8">
                  <c:v>2.8161370754241881</c:v>
                </c:pt>
                <c:pt idx="9">
                  <c:v>2.75983691215515</c:v>
                </c:pt>
                <c:pt idx="10">
                  <c:v>4.51304006576538</c:v>
                </c:pt>
                <c:pt idx="11">
                  <c:v>4.8183407783508301</c:v>
                </c:pt>
                <c:pt idx="12">
                  <c:v>4.9657425880432102</c:v>
                </c:pt>
                <c:pt idx="13">
                  <c:v>4.9821591377258301</c:v>
                </c:pt>
                <c:pt idx="14">
                  <c:v>5.3744421005249023</c:v>
                </c:pt>
                <c:pt idx="15">
                  <c:v>6.22304439544678</c:v>
                </c:pt>
                <c:pt idx="16">
                  <c:v>6.6806783676147496</c:v>
                </c:pt>
                <c:pt idx="17">
                  <c:v>7.1059451103210396</c:v>
                </c:pt>
                <c:pt idx="18">
                  <c:v>7.3572545051574636</c:v>
                </c:pt>
                <c:pt idx="19">
                  <c:v>8.1533117294311097</c:v>
                </c:pt>
                <c:pt idx="20">
                  <c:v>8.4644880294800142</c:v>
                </c:pt>
                <c:pt idx="21">
                  <c:v>8.4851999282837252</c:v>
                </c:pt>
                <c:pt idx="22">
                  <c:v>9.8042869567871431</c:v>
                </c:pt>
                <c:pt idx="23">
                  <c:v>10.601589202880801</c:v>
                </c:pt>
                <c:pt idx="24">
                  <c:v>11.24303627014163</c:v>
                </c:pt>
                <c:pt idx="25">
                  <c:v>11.7722616195678</c:v>
                </c:pt>
                <c:pt idx="26">
                  <c:v>12.1820001602172</c:v>
                </c:pt>
                <c:pt idx="27">
                  <c:v>12.6238298416137</c:v>
                </c:pt>
                <c:pt idx="28">
                  <c:v>12.80142021179193</c:v>
                </c:pt>
                <c:pt idx="29">
                  <c:v>12.87567043304443</c:v>
                </c:pt>
                <c:pt idx="30">
                  <c:v>14.246330261230399</c:v>
                </c:pt>
                <c:pt idx="31">
                  <c:v>15.0498895645141</c:v>
                </c:pt>
                <c:pt idx="32">
                  <c:v>15.314221382141071</c:v>
                </c:pt>
                <c:pt idx="33">
                  <c:v>15.592741012573221</c:v>
                </c:pt>
                <c:pt idx="34">
                  <c:v>16.154445648193299</c:v>
                </c:pt>
              </c:numCache>
            </c:numRef>
          </c:val>
        </c:ser>
        <c:dLbls>
          <c:showLegendKey val="0"/>
          <c:showVal val="0"/>
          <c:showCatName val="0"/>
          <c:showSerName val="0"/>
          <c:showPercent val="0"/>
          <c:showBubbleSize val="0"/>
        </c:dLbls>
        <c:gapWidth val="50"/>
        <c:axId val="151267584"/>
        <c:axId val="151266048"/>
      </c:barChart>
      <c:lineChart>
        <c:grouping val="standard"/>
        <c:varyColors val="0"/>
        <c:ser>
          <c:idx val="1"/>
          <c:order val="1"/>
          <c:tx>
            <c:strRef>
              <c:f>'по странам'!$A$5</c:f>
              <c:strCache>
                <c:ptCount val="1"/>
                <c:pt idx="0">
                  <c:v>Добыча, тыс. барр. в сутки</c:v>
                </c:pt>
              </c:strCache>
            </c:strRef>
          </c:tx>
          <c:spPr>
            <a:ln>
              <a:solidFill>
                <a:srgbClr val="002060"/>
              </a:solidFill>
            </a:ln>
          </c:spPr>
          <c:marker>
            <c:symbol val="none"/>
          </c:marker>
          <c:cat>
            <c:numRef>
              <c:f>'по странам'!$B$3:$AJ$3</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'по странам'!$B$5:$AJ$5</c:f>
              <c:numCache>
                <c:formatCode>General</c:formatCode>
                <c:ptCount val="35"/>
                <c:pt idx="0">
                  <c:v>188</c:v>
                </c:pt>
                <c:pt idx="1">
                  <c:v>220</c:v>
                </c:pt>
                <c:pt idx="2">
                  <c:v>268</c:v>
                </c:pt>
                <c:pt idx="3">
                  <c:v>340</c:v>
                </c:pt>
                <c:pt idx="4">
                  <c:v>473</c:v>
                </c:pt>
                <c:pt idx="5">
                  <c:v>560</c:v>
                </c:pt>
                <c:pt idx="6">
                  <c:v>591</c:v>
                </c:pt>
                <c:pt idx="7">
                  <c:v>589</c:v>
                </c:pt>
                <c:pt idx="8">
                  <c:v>573</c:v>
                </c:pt>
                <c:pt idx="9">
                  <c:v>613</c:v>
                </c:pt>
                <c:pt idx="10">
                  <c:v>650</c:v>
                </c:pt>
                <c:pt idx="11">
                  <c:v>643</c:v>
                </c:pt>
                <c:pt idx="12">
                  <c:v>652</c:v>
                </c:pt>
                <c:pt idx="13">
                  <c:v>664</c:v>
                </c:pt>
                <c:pt idx="14">
                  <c:v>693</c:v>
                </c:pt>
                <c:pt idx="15">
                  <c:v>718</c:v>
                </c:pt>
                <c:pt idx="16">
                  <c:v>807</c:v>
                </c:pt>
                <c:pt idx="17">
                  <c:v>868</c:v>
                </c:pt>
                <c:pt idx="18">
                  <c:v>1003</c:v>
                </c:pt>
                <c:pt idx="19">
                  <c:v>1133</c:v>
                </c:pt>
                <c:pt idx="20">
                  <c:v>1270.9310673371999</c:v>
                </c:pt>
                <c:pt idx="21">
                  <c:v>1337.1819188972961</c:v>
                </c:pt>
                <c:pt idx="22">
                  <c:v>1498.9907552534401</c:v>
                </c:pt>
                <c:pt idx="23">
                  <c:v>1555.29835677957</c:v>
                </c:pt>
                <c:pt idx="24">
                  <c:v>1542.5268535352809</c:v>
                </c:pt>
                <c:pt idx="25">
                  <c:v>1712.8723757463499</c:v>
                </c:pt>
                <c:pt idx="26">
                  <c:v>1809.1191246339661</c:v>
                </c:pt>
                <c:pt idx="27">
                  <c:v>1832.6583259572201</c:v>
                </c:pt>
                <c:pt idx="28">
                  <c:v>1898.8752618646411</c:v>
                </c:pt>
                <c:pt idx="29">
                  <c:v>2029.0368662574001</c:v>
                </c:pt>
                <c:pt idx="30">
                  <c:v>2137.4136748661522</c:v>
                </c:pt>
                <c:pt idx="31">
                  <c:v>2192.9073165226682</c:v>
                </c:pt>
                <c:pt idx="32">
                  <c:v>2149.2514503044922</c:v>
                </c:pt>
                <c:pt idx="33">
                  <c:v>2114.1141667297902</c:v>
                </c:pt>
                <c:pt idx="34">
                  <c:v>2346.3109398456518</c:v>
                </c:pt>
              </c:numCache>
            </c:numRef>
          </c:val>
          <c:smooth val="0"/>
        </c:ser>
        <c:ser>
          <c:idx val="2"/>
          <c:order val="2"/>
          <c:tx>
            <c:strRef>
              <c:f>'по странам'!$A$6</c:f>
              <c:strCache>
                <c:ptCount val="1"/>
                <c:pt idx="0">
                  <c:v>Потребление, тыс. барр. в сутки</c:v>
                </c:pt>
              </c:strCache>
            </c:strRef>
          </c:tx>
          <c:spPr>
            <a:ln>
              <a:solidFill>
                <a:srgbClr val="FF0000"/>
              </a:solidFill>
            </a:ln>
          </c:spPr>
          <c:marker>
            <c:symbol val="none"/>
          </c:marker>
          <c:cat>
            <c:numRef>
              <c:f>'по странам'!$B$3:$AJ$3</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'по странам'!$B$6:$AJ$6</c:f>
              <c:numCache>
                <c:formatCode>General</c:formatCode>
                <c:ptCount val="35"/>
                <c:pt idx="0">
                  <c:v>1162.9976930671139</c:v>
                </c:pt>
                <c:pt idx="1">
                  <c:v>1124.0097804147699</c:v>
                </c:pt>
                <c:pt idx="2">
                  <c:v>1167.7490167614701</c:v>
                </c:pt>
                <c:pt idx="3">
                  <c:v>1152.8703953940301</c:v>
                </c:pt>
                <c:pt idx="4">
                  <c:v>1191.6083811250801</c:v>
                </c:pt>
                <c:pt idx="5">
                  <c:v>1240.9731679568899</c:v>
                </c:pt>
                <c:pt idx="6">
                  <c:v>1402.4927855742101</c:v>
                </c:pt>
                <c:pt idx="7">
                  <c:v>1447.5751678640311</c:v>
                </c:pt>
                <c:pt idx="8">
                  <c:v>1482.58933860414</c:v>
                </c:pt>
                <c:pt idx="9">
                  <c:v>1517.5904951615701</c:v>
                </c:pt>
                <c:pt idx="10">
                  <c:v>1478.19596258053</c:v>
                </c:pt>
                <c:pt idx="11">
                  <c:v>1504.10270887928</c:v>
                </c:pt>
                <c:pt idx="12">
                  <c:v>1552.09324097174</c:v>
                </c:pt>
                <c:pt idx="13">
                  <c:v>1613.6083035244201</c:v>
                </c:pt>
                <c:pt idx="14">
                  <c:v>1721.4440894537511</c:v>
                </c:pt>
                <c:pt idx="15">
                  <c:v>1799.2406617541949</c:v>
                </c:pt>
                <c:pt idx="16">
                  <c:v>1896.9386812004909</c:v>
                </c:pt>
                <c:pt idx="17">
                  <c:v>2016.4520616861939</c:v>
                </c:pt>
                <c:pt idx="18">
                  <c:v>2085.2720488199702</c:v>
                </c:pt>
                <c:pt idx="19">
                  <c:v>2138.4900843713722</c:v>
                </c:pt>
                <c:pt idx="20">
                  <c:v>2056.323518070983</c:v>
                </c:pt>
                <c:pt idx="21">
                  <c:v>2041.6213502148139</c:v>
                </c:pt>
                <c:pt idx="22">
                  <c:v>2031.3122423986761</c:v>
                </c:pt>
                <c:pt idx="23">
                  <c:v>1972.97943355917</c:v>
                </c:pt>
                <c:pt idx="24">
                  <c:v>2050.1412805999398</c:v>
                </c:pt>
                <c:pt idx="25">
                  <c:v>2107.8489563160001</c:v>
                </c:pt>
                <c:pt idx="26">
                  <c:v>2138.7030292539498</c:v>
                </c:pt>
                <c:pt idx="27">
                  <c:v>2297.3286241600722</c:v>
                </c:pt>
                <c:pt idx="28">
                  <c:v>2451.5561214473701</c:v>
                </c:pt>
                <c:pt idx="29">
                  <c:v>2486.0296354931802</c:v>
                </c:pt>
                <c:pt idx="30">
                  <c:v>2701.0621400213499</c:v>
                </c:pt>
                <c:pt idx="31">
                  <c:v>2812.7666805335102</c:v>
                </c:pt>
                <c:pt idx="32">
                  <c:v>2860.2928087651112</c:v>
                </c:pt>
                <c:pt idx="33">
                  <c:v>3047.5865661011399</c:v>
                </c:pt>
                <c:pt idx="34">
                  <c:v>3228.8235800923808</c:v>
                </c:pt>
              </c:numCache>
            </c:numRef>
          </c:val>
          <c:smooth val="0"/>
        </c:ser>
        <c:dLbls>
          <c:showLegendKey val="0"/>
          <c:showVal val="0"/>
          <c:showCatName val="0"/>
          <c:showSerName val="0"/>
          <c:showPercent val="0"/>
          <c:showBubbleSize val="0"/>
        </c:dLbls>
        <c:marker val="1"/>
        <c:smooth val="0"/>
        <c:axId val="151258624"/>
        <c:axId val="151260160"/>
      </c:lineChart>
      <c:catAx>
        <c:axId val="151258624"/>
        <c:scaling>
          <c:orientation val="minMax"/>
        </c:scaling>
        <c:delete val="0"/>
        <c:axPos val="b"/>
        <c:numFmt formatCode="General" sourceLinked="1"/>
        <c:majorTickMark val="out"/>
        <c:minorTickMark val="none"/>
        <c:tickLblPos val="nextTo"/>
        <c:crossAx val="151260160"/>
        <c:crosses val="autoZero"/>
        <c:auto val="1"/>
        <c:lblAlgn val="ctr"/>
        <c:lblOffset val="100"/>
        <c:tickLblSkip val="2"/>
        <c:tickMarkSkip val="4"/>
        <c:noMultiLvlLbl val="0"/>
      </c:catAx>
      <c:valAx>
        <c:axId val="151260160"/>
        <c:scaling>
          <c:orientation val="minMax"/>
        </c:scaling>
        <c:delete val="0"/>
        <c:axPos val="l"/>
        <c:numFmt formatCode="General" sourceLinked="1"/>
        <c:majorTickMark val="out"/>
        <c:minorTickMark val="none"/>
        <c:tickLblPos val="nextTo"/>
        <c:crossAx val="151258624"/>
        <c:crosses val="autoZero"/>
        <c:crossBetween val="between"/>
      </c:valAx>
      <c:valAx>
        <c:axId val="151266048"/>
        <c:scaling>
          <c:orientation val="minMax"/>
        </c:scaling>
        <c:delete val="0"/>
        <c:axPos val="r"/>
        <c:numFmt formatCode="General" sourceLinked="1"/>
        <c:majorTickMark val="out"/>
        <c:minorTickMark val="none"/>
        <c:tickLblPos val="nextTo"/>
        <c:crossAx val="151267584"/>
        <c:crosses val="max"/>
        <c:crossBetween val="between"/>
      </c:valAx>
      <c:catAx>
        <c:axId val="151267584"/>
        <c:scaling>
          <c:orientation val="minMax"/>
        </c:scaling>
        <c:delete val="1"/>
        <c:axPos val="b"/>
        <c:numFmt formatCode="General" sourceLinked="1"/>
        <c:majorTickMark val="out"/>
        <c:minorTickMark val="none"/>
        <c:tickLblPos val="none"/>
        <c:crossAx val="151266048"/>
        <c:crosses val="autoZero"/>
        <c:auto val="1"/>
        <c:lblAlgn val="ctr"/>
        <c:lblOffset val="100"/>
        <c:noMultiLvlLbl val="0"/>
      </c:catAx>
    </c:plotArea>
    <c:legend>
      <c:legendPos val="r"/>
      <c:layout>
        <c:manualLayout>
          <c:xMode val="edge"/>
          <c:yMode val="edge"/>
          <c:x val="7.8199404761904803E-2"/>
          <c:y val="7.3498104403616399E-2"/>
          <c:w val="0.37164227642276398"/>
          <c:h val="0.19559601924759401"/>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068130155605907E-2"/>
          <c:y val="5.1400554097404502E-2"/>
          <c:w val="0.87624320397450794"/>
          <c:h val="0.79523549139690797"/>
        </c:manualLayout>
      </c:layout>
      <c:barChart>
        <c:barDir val="col"/>
        <c:grouping val="clustered"/>
        <c:varyColors val="0"/>
        <c:ser>
          <c:idx val="0"/>
          <c:order val="0"/>
          <c:tx>
            <c:strRef>
              <c:f>'по странам'!$A$4</c:f>
              <c:strCache>
                <c:ptCount val="1"/>
                <c:pt idx="0">
                  <c:v>Запасы, млрд. барр. (прав. шкала)</c:v>
                </c:pt>
              </c:strCache>
            </c:strRef>
          </c:tx>
          <c:spPr>
            <a:solidFill>
              <a:schemeClr val="tx2">
                <a:lumMod val="20000"/>
                <a:lumOff val="80000"/>
              </a:schemeClr>
            </a:solidFill>
          </c:spPr>
          <c:invertIfNegative val="0"/>
          <c:cat>
            <c:numRef>
              <c:f>'по странам'!$B$3:$AJ$3</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'по странам'!$B$28:$AJ$28</c:f>
              <c:numCache>
                <c:formatCode>General</c:formatCode>
                <c:ptCount val="35"/>
                <c:pt idx="0">
                  <c:v>13.35262107849123</c:v>
                </c:pt>
                <c:pt idx="1">
                  <c:v>13.290462493896401</c:v>
                </c:pt>
                <c:pt idx="2">
                  <c:v>13.258870124816861</c:v>
                </c:pt>
                <c:pt idx="3">
                  <c:v>14.88085269927973</c:v>
                </c:pt>
                <c:pt idx="4">
                  <c:v>16.3645915985107</c:v>
                </c:pt>
                <c:pt idx="5">
                  <c:v>17.0876960754393</c:v>
                </c:pt>
                <c:pt idx="6">
                  <c:v>17.161289215087791</c:v>
                </c:pt>
                <c:pt idx="7">
                  <c:v>17.423482894897319</c:v>
                </c:pt>
                <c:pt idx="8">
                  <c:v>17.283626556396289</c:v>
                </c:pt>
                <c:pt idx="9">
                  <c:v>16.058490753173789</c:v>
                </c:pt>
                <c:pt idx="10">
                  <c:v>16.0197143554687</c:v>
                </c:pt>
                <c:pt idx="11">
                  <c:v>15.5132122039794</c:v>
                </c:pt>
                <c:pt idx="12">
                  <c:v>15.1931104660034</c:v>
                </c:pt>
                <c:pt idx="13">
                  <c:v>16.435325622558501</c:v>
                </c:pt>
                <c:pt idx="14">
                  <c:v>16.257940292358391</c:v>
                </c:pt>
                <c:pt idx="15">
                  <c:v>16.35506248474119</c:v>
                </c:pt>
                <c:pt idx="16">
                  <c:v>16.4444885253906</c:v>
                </c:pt>
                <c:pt idx="17">
                  <c:v>17.021505355834901</c:v>
                </c:pt>
                <c:pt idx="18">
                  <c:v>17.42282295227049</c:v>
                </c:pt>
                <c:pt idx="19">
                  <c:v>15.111900329589799</c:v>
                </c:pt>
                <c:pt idx="20">
                  <c:v>15.190299987792899</c:v>
                </c:pt>
                <c:pt idx="21">
                  <c:v>15.4114999771118</c:v>
                </c:pt>
                <c:pt idx="22">
                  <c:v>15.5087003707885</c:v>
                </c:pt>
                <c:pt idx="23">
                  <c:v>15.475700378417949</c:v>
                </c:pt>
                <c:pt idx="24">
                  <c:v>15.5306997299194</c:v>
                </c:pt>
                <c:pt idx="25">
                  <c:v>15.5873003005981</c:v>
                </c:pt>
                <c:pt idx="26">
                  <c:v>15.6145000457763</c:v>
                </c:pt>
                <c:pt idx="27">
                  <c:v>15.493399620056101</c:v>
                </c:pt>
                <c:pt idx="28">
                  <c:v>15.60556983947753</c:v>
                </c:pt>
                <c:pt idx="29">
                  <c:v>15.862119674682649</c:v>
                </c:pt>
                <c:pt idx="30">
                  <c:v>17.298799514770419</c:v>
                </c:pt>
                <c:pt idx="31">
                  <c:v>17.804569244384702</c:v>
                </c:pt>
                <c:pt idx="32">
                  <c:v>18.083705902099599</c:v>
                </c:pt>
                <c:pt idx="33">
                  <c:v>18.478929519653239</c:v>
                </c:pt>
                <c:pt idx="34">
                  <c:v>18.478929519653239</c:v>
                </c:pt>
              </c:numCache>
            </c:numRef>
          </c:val>
        </c:ser>
        <c:dLbls>
          <c:showLegendKey val="0"/>
          <c:showVal val="0"/>
          <c:showCatName val="0"/>
          <c:showSerName val="0"/>
          <c:showPercent val="0"/>
          <c:showBubbleSize val="0"/>
        </c:dLbls>
        <c:gapWidth val="50"/>
        <c:axId val="151299584"/>
        <c:axId val="151298048"/>
      </c:barChart>
      <c:lineChart>
        <c:grouping val="standard"/>
        <c:varyColors val="0"/>
        <c:ser>
          <c:idx val="1"/>
          <c:order val="1"/>
          <c:tx>
            <c:strRef>
              <c:f>'по странам'!$A$5</c:f>
              <c:strCache>
                <c:ptCount val="1"/>
                <c:pt idx="0">
                  <c:v>Добыча, тыс. барр. в сутки</c:v>
                </c:pt>
              </c:strCache>
            </c:strRef>
          </c:tx>
          <c:spPr>
            <a:ln>
              <a:solidFill>
                <a:srgbClr val="002060"/>
              </a:solidFill>
            </a:ln>
          </c:spPr>
          <c:marker>
            <c:symbol val="none"/>
          </c:marker>
          <c:cat>
            <c:numRef>
              <c:f>'по странам'!$B$3:$AJ$3</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'по странам'!$B$29:$AJ$29</c:f>
              <c:numCache>
                <c:formatCode>General</c:formatCode>
                <c:ptCount val="35"/>
                <c:pt idx="0">
                  <c:v>2121.89480874316</c:v>
                </c:pt>
                <c:pt idx="1">
                  <c:v>2032.7194520547901</c:v>
                </c:pt>
                <c:pt idx="2">
                  <c:v>2050.7934246575301</c:v>
                </c:pt>
                <c:pt idx="3">
                  <c:v>2130.1180821917792</c:v>
                </c:pt>
                <c:pt idx="4">
                  <c:v>2295.3314207650201</c:v>
                </c:pt>
                <c:pt idx="5">
                  <c:v>2508.2657534246491</c:v>
                </c:pt>
                <c:pt idx="6">
                  <c:v>2624.5416438356101</c:v>
                </c:pt>
                <c:pt idx="7">
                  <c:v>2693.8252054794498</c:v>
                </c:pt>
                <c:pt idx="8">
                  <c:v>2744.7445355191198</c:v>
                </c:pt>
                <c:pt idx="9">
                  <c:v>2764.11287671232</c:v>
                </c:pt>
                <c:pt idx="10">
                  <c:v>2777.5679452054701</c:v>
                </c:pt>
                <c:pt idx="11">
                  <c:v>2831.3882191780799</c:v>
                </c:pt>
                <c:pt idx="12">
                  <c:v>2844.6808743169222</c:v>
                </c:pt>
                <c:pt idx="13">
                  <c:v>2892.4380821917798</c:v>
                </c:pt>
                <c:pt idx="14">
                  <c:v>2933.60657534246</c:v>
                </c:pt>
                <c:pt idx="15">
                  <c:v>2992.6482191780801</c:v>
                </c:pt>
                <c:pt idx="16">
                  <c:v>3174.7311475409879</c:v>
                </c:pt>
                <c:pt idx="17">
                  <c:v>3215.7613698630098</c:v>
                </c:pt>
                <c:pt idx="18">
                  <c:v>3216.7654794520422</c:v>
                </c:pt>
                <c:pt idx="19">
                  <c:v>3217.5687671232722</c:v>
                </c:pt>
                <c:pt idx="20">
                  <c:v>3256.8431693989</c:v>
                </c:pt>
                <c:pt idx="21">
                  <c:v>3310.1476712328699</c:v>
                </c:pt>
                <c:pt idx="22">
                  <c:v>3351.0350136986308</c:v>
                </c:pt>
                <c:pt idx="23">
                  <c:v>3405.6384931506732</c:v>
                </c:pt>
                <c:pt idx="24">
                  <c:v>3485.7754918032701</c:v>
                </c:pt>
                <c:pt idx="25">
                  <c:v>3641.9637178082212</c:v>
                </c:pt>
                <c:pt idx="26">
                  <c:v>3710.5002219177932</c:v>
                </c:pt>
                <c:pt idx="27">
                  <c:v>3741.67782465753</c:v>
                </c:pt>
                <c:pt idx="28">
                  <c:v>3813.9952677595602</c:v>
                </c:pt>
                <c:pt idx="29">
                  <c:v>3805.3745205479422</c:v>
                </c:pt>
                <c:pt idx="30">
                  <c:v>4076.9660821917792</c:v>
                </c:pt>
                <c:pt idx="31">
                  <c:v>4074.1846986301298</c:v>
                </c:pt>
                <c:pt idx="32">
                  <c:v>4155.2287978141776</c:v>
                </c:pt>
                <c:pt idx="33">
                  <c:v>4216.4426275342403</c:v>
                </c:pt>
                <c:pt idx="34">
                  <c:v>4245.95772602739</c:v>
                </c:pt>
              </c:numCache>
            </c:numRef>
          </c:val>
          <c:smooth val="0"/>
        </c:ser>
        <c:ser>
          <c:idx val="2"/>
          <c:order val="2"/>
          <c:tx>
            <c:strRef>
              <c:f>'по странам'!$A$6</c:f>
              <c:strCache>
                <c:ptCount val="1"/>
                <c:pt idx="0">
                  <c:v>Потребление, тыс. барр. в сутки</c:v>
                </c:pt>
              </c:strCache>
            </c:strRef>
          </c:tx>
          <c:spPr>
            <a:ln>
              <a:solidFill>
                <a:srgbClr val="FF0000"/>
              </a:solidFill>
            </a:ln>
          </c:spPr>
          <c:marker>
            <c:symbol val="none"/>
          </c:marker>
          <c:cat>
            <c:numRef>
              <c:f>'по странам'!$B$3:$AJ$3</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'по странам'!$B$30:$AJ$30</c:f>
              <c:numCache>
                <c:formatCode>General</c:formatCode>
                <c:ptCount val="35"/>
                <c:pt idx="0">
                  <c:v>1689.7681420765</c:v>
                </c:pt>
                <c:pt idx="1">
                  <c:v>1611.85073972602</c:v>
                </c:pt>
                <c:pt idx="2">
                  <c:v>1597.1950684931501</c:v>
                </c:pt>
                <c:pt idx="3">
                  <c:v>1638.0937534246509</c:v>
                </c:pt>
                <c:pt idx="4">
                  <c:v>1695.30852459016</c:v>
                </c:pt>
                <c:pt idx="5">
                  <c:v>1820.2964657534201</c:v>
                </c:pt>
                <c:pt idx="6">
                  <c:v>1934.2668219177999</c:v>
                </c:pt>
                <c:pt idx="7">
                  <c:v>2054.7258082191702</c:v>
                </c:pt>
                <c:pt idx="8">
                  <c:v>2202.6592896174802</c:v>
                </c:pt>
                <c:pt idx="9">
                  <c:v>2337.5478904109432</c:v>
                </c:pt>
                <c:pt idx="10">
                  <c:v>2320.04021917808</c:v>
                </c:pt>
                <c:pt idx="11">
                  <c:v>2520.4972876712318</c:v>
                </c:pt>
                <c:pt idx="12">
                  <c:v>2736.0552732240408</c:v>
                </c:pt>
                <c:pt idx="13">
                  <c:v>3046.7796438356099</c:v>
                </c:pt>
                <c:pt idx="14">
                  <c:v>3115.0921260273922</c:v>
                </c:pt>
                <c:pt idx="15">
                  <c:v>3394.1067999999991</c:v>
                </c:pt>
                <c:pt idx="16">
                  <c:v>3722.0277599432702</c:v>
                </c:pt>
                <c:pt idx="17">
                  <c:v>4119.9430734246498</c:v>
                </c:pt>
                <c:pt idx="18">
                  <c:v>4216.4508654421898</c:v>
                </c:pt>
                <c:pt idx="19">
                  <c:v>4451.7612378082104</c:v>
                </c:pt>
                <c:pt idx="20">
                  <c:v>4765.8923532786803</c:v>
                </c:pt>
                <c:pt idx="21">
                  <c:v>4859.4087994520514</c:v>
                </c:pt>
                <c:pt idx="22">
                  <c:v>5262.2990362641103</c:v>
                </c:pt>
                <c:pt idx="23">
                  <c:v>5771.4646275556333</c:v>
                </c:pt>
                <c:pt idx="24">
                  <c:v>6739.8849065656977</c:v>
                </c:pt>
                <c:pt idx="25">
                  <c:v>6922.8766126698747</c:v>
                </c:pt>
                <c:pt idx="26">
                  <c:v>7437.3505154921604</c:v>
                </c:pt>
                <c:pt idx="27">
                  <c:v>7817.0061133599047</c:v>
                </c:pt>
                <c:pt idx="28">
                  <c:v>7936.8716393260402</c:v>
                </c:pt>
                <c:pt idx="29">
                  <c:v>8211.5291163306792</c:v>
                </c:pt>
                <c:pt idx="30">
                  <c:v>9265.9119318222401</c:v>
                </c:pt>
                <c:pt idx="31">
                  <c:v>9790.569734975601</c:v>
                </c:pt>
                <c:pt idx="32">
                  <c:v>10231.411259402101</c:v>
                </c:pt>
                <c:pt idx="33">
                  <c:v>10664.35098750326</c:v>
                </c:pt>
                <c:pt idx="34">
                  <c:v>11056.485660570101</c:v>
                </c:pt>
              </c:numCache>
            </c:numRef>
          </c:val>
          <c:smooth val="0"/>
        </c:ser>
        <c:dLbls>
          <c:showLegendKey val="0"/>
          <c:showVal val="0"/>
          <c:showCatName val="0"/>
          <c:showSerName val="0"/>
          <c:showPercent val="0"/>
          <c:showBubbleSize val="0"/>
        </c:dLbls>
        <c:marker val="1"/>
        <c:smooth val="0"/>
        <c:axId val="151294720"/>
        <c:axId val="151296256"/>
      </c:lineChart>
      <c:catAx>
        <c:axId val="151294720"/>
        <c:scaling>
          <c:orientation val="minMax"/>
        </c:scaling>
        <c:delete val="0"/>
        <c:axPos val="b"/>
        <c:numFmt formatCode="General" sourceLinked="1"/>
        <c:majorTickMark val="out"/>
        <c:minorTickMark val="none"/>
        <c:tickLblPos val="nextTo"/>
        <c:crossAx val="151296256"/>
        <c:crosses val="autoZero"/>
        <c:auto val="1"/>
        <c:lblAlgn val="ctr"/>
        <c:lblOffset val="100"/>
        <c:tickLblSkip val="2"/>
        <c:noMultiLvlLbl val="0"/>
      </c:catAx>
      <c:valAx>
        <c:axId val="151296256"/>
        <c:scaling>
          <c:orientation val="minMax"/>
        </c:scaling>
        <c:delete val="0"/>
        <c:axPos val="l"/>
        <c:numFmt formatCode="General" sourceLinked="1"/>
        <c:majorTickMark val="out"/>
        <c:minorTickMark val="none"/>
        <c:tickLblPos val="nextTo"/>
        <c:crossAx val="151294720"/>
        <c:crosses val="autoZero"/>
        <c:crossBetween val="between"/>
      </c:valAx>
      <c:valAx>
        <c:axId val="151298048"/>
        <c:scaling>
          <c:orientation val="minMax"/>
          <c:max val="25"/>
        </c:scaling>
        <c:delete val="0"/>
        <c:axPos val="r"/>
        <c:numFmt formatCode="General" sourceLinked="1"/>
        <c:majorTickMark val="out"/>
        <c:minorTickMark val="none"/>
        <c:tickLblPos val="nextTo"/>
        <c:crossAx val="151299584"/>
        <c:crosses val="max"/>
        <c:crossBetween val="between"/>
      </c:valAx>
      <c:catAx>
        <c:axId val="151299584"/>
        <c:scaling>
          <c:orientation val="minMax"/>
        </c:scaling>
        <c:delete val="1"/>
        <c:axPos val="b"/>
        <c:numFmt formatCode="General" sourceLinked="1"/>
        <c:majorTickMark val="out"/>
        <c:minorTickMark val="none"/>
        <c:tickLblPos val="none"/>
        <c:crossAx val="151298048"/>
        <c:crosses val="autoZero"/>
        <c:auto val="1"/>
        <c:lblAlgn val="ctr"/>
        <c:lblOffset val="100"/>
        <c:noMultiLvlLbl val="0"/>
      </c:catAx>
    </c:plotArea>
    <c:legend>
      <c:legendPos val="r"/>
      <c:layout>
        <c:manualLayout>
          <c:xMode val="edge"/>
          <c:yMode val="edge"/>
          <c:x val="7.3321298252352604E-2"/>
          <c:y val="1.7942548848060801E-2"/>
          <c:w val="0.46306333301068497"/>
          <c:h val="0.249091503412075"/>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068130155605907E-2"/>
          <c:y val="5.1400554097404502E-2"/>
          <c:w val="0.87624320397451005"/>
          <c:h val="0.79523549139690797"/>
        </c:manualLayout>
      </c:layout>
      <c:barChart>
        <c:barDir val="col"/>
        <c:grouping val="clustered"/>
        <c:varyColors val="0"/>
        <c:ser>
          <c:idx val="0"/>
          <c:order val="0"/>
          <c:tx>
            <c:strRef>
              <c:f>'по странам'!$A$152</c:f>
              <c:strCache>
                <c:ptCount val="1"/>
                <c:pt idx="0">
                  <c:v>Запасы, млрд. барр. (прав. шкала)</c:v>
                </c:pt>
              </c:strCache>
            </c:strRef>
          </c:tx>
          <c:spPr>
            <a:solidFill>
              <a:schemeClr val="tx2">
                <a:lumMod val="20000"/>
                <a:lumOff val="80000"/>
              </a:schemeClr>
            </a:solidFill>
          </c:spPr>
          <c:invertIfNegative val="0"/>
          <c:cat>
            <c:numRef>
              <c:f>'по странам'!$G$151:$AJ$151</c:f>
              <c:numCache>
                <c:formatCode>General</c:formatCode>
                <c:ptCount val="30"/>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numCache>
            </c:numRef>
          </c:cat>
          <c:val>
            <c:numRef>
              <c:f>'по странам'!$G$152:$AJ$152</c:f>
              <c:numCache>
                <c:formatCode>General</c:formatCode>
                <c:ptCount val="30"/>
                <c:pt idx="6">
                  <c:v>5.1869997978210414</c:v>
                </c:pt>
                <c:pt idx="7">
                  <c:v>5.1869997978210414</c:v>
                </c:pt>
                <c:pt idx="8">
                  <c:v>5.1869997978210414</c:v>
                </c:pt>
                <c:pt idx="9">
                  <c:v>5.3179998397826962</c:v>
                </c:pt>
                <c:pt idx="10">
                  <c:v>5.3179998397826962</c:v>
                </c:pt>
                <c:pt idx="11">
                  <c:v>5.3179998397826962</c:v>
                </c:pt>
                <c:pt idx="12">
                  <c:v>5.3179998397826962</c:v>
                </c:pt>
                <c:pt idx="13">
                  <c:v>5.4000000953674334</c:v>
                </c:pt>
                <c:pt idx="14">
                  <c:v>5.4000000953674334</c:v>
                </c:pt>
                <c:pt idx="15">
                  <c:v>5.4000000953674334</c:v>
                </c:pt>
                <c:pt idx="16">
                  <c:v>5.4000000953674334</c:v>
                </c:pt>
                <c:pt idx="17">
                  <c:v>5.4000000953674334</c:v>
                </c:pt>
                <c:pt idx="18">
                  <c:v>9</c:v>
                </c:pt>
                <c:pt idx="19">
                  <c:v>9</c:v>
                </c:pt>
                <c:pt idx="20">
                  <c:v>9</c:v>
                </c:pt>
                <c:pt idx="21">
                  <c:v>9</c:v>
                </c:pt>
                <c:pt idx="22">
                  <c:v>30</c:v>
                </c:pt>
                <c:pt idx="23">
                  <c:v>30</c:v>
                </c:pt>
                <c:pt idx="24">
                  <c:v>30</c:v>
                </c:pt>
                <c:pt idx="25">
                  <c:v>30</c:v>
                </c:pt>
                <c:pt idx="26">
                  <c:v>30</c:v>
                </c:pt>
                <c:pt idx="27">
                  <c:v>30</c:v>
                </c:pt>
                <c:pt idx="28">
                  <c:v>30</c:v>
                </c:pt>
                <c:pt idx="29">
                  <c:v>30</c:v>
                </c:pt>
              </c:numCache>
            </c:numRef>
          </c:val>
        </c:ser>
        <c:dLbls>
          <c:showLegendKey val="0"/>
          <c:showVal val="0"/>
          <c:showCatName val="0"/>
          <c:showSerName val="0"/>
          <c:showPercent val="0"/>
          <c:showBubbleSize val="0"/>
        </c:dLbls>
        <c:gapWidth val="50"/>
        <c:axId val="149721856"/>
        <c:axId val="149715968"/>
      </c:barChart>
      <c:lineChart>
        <c:grouping val="standard"/>
        <c:varyColors val="0"/>
        <c:ser>
          <c:idx val="1"/>
          <c:order val="1"/>
          <c:tx>
            <c:strRef>
              <c:f>'по странам'!$A$153</c:f>
              <c:strCache>
                <c:ptCount val="1"/>
                <c:pt idx="0">
                  <c:v>Добыча, тыс. барр. в сутки</c:v>
                </c:pt>
              </c:strCache>
            </c:strRef>
          </c:tx>
          <c:spPr>
            <a:ln>
              <a:solidFill>
                <a:srgbClr val="002060"/>
              </a:solidFill>
            </a:ln>
          </c:spPr>
          <c:marker>
            <c:symbol val="none"/>
          </c:marker>
          <c:cat>
            <c:numRef>
              <c:f>'по странам'!$G$151:$AJ$151</c:f>
              <c:numCache>
                <c:formatCode>General</c:formatCode>
                <c:ptCount val="30"/>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numCache>
            </c:numRef>
          </c:cat>
          <c:val>
            <c:numRef>
              <c:f>'по странам'!$G$153:$AJ$153</c:f>
              <c:numCache>
                <c:formatCode>General</c:formatCode>
                <c:ptCount val="30"/>
                <c:pt idx="0">
                  <c:v>484.76712328766979</c:v>
                </c:pt>
                <c:pt idx="1">
                  <c:v>502.79369863013602</c:v>
                </c:pt>
                <c:pt idx="2">
                  <c:v>523.06383561643804</c:v>
                </c:pt>
                <c:pt idx="3">
                  <c:v>545.08934426229769</c:v>
                </c:pt>
                <c:pt idx="4">
                  <c:v>556.38767123287653</c:v>
                </c:pt>
                <c:pt idx="5">
                  <c:v>570.74465753424602</c:v>
                </c:pt>
                <c:pt idx="6">
                  <c:v>588.68219178082097</c:v>
                </c:pt>
                <c:pt idx="7">
                  <c:v>568.88251366120198</c:v>
                </c:pt>
                <c:pt idx="8">
                  <c:v>507.35616438356197</c:v>
                </c:pt>
                <c:pt idx="9">
                  <c:v>445.8535890410941</c:v>
                </c:pt>
                <c:pt idx="10">
                  <c:v>450.43887671232721</c:v>
                </c:pt>
                <c:pt idx="11">
                  <c:v>493.12330601092799</c:v>
                </c:pt>
                <c:pt idx="12">
                  <c:v>556.87306849314996</c:v>
                </c:pt>
                <c:pt idx="13">
                  <c:v>558.49142465753403</c:v>
                </c:pt>
                <c:pt idx="14">
                  <c:v>655.62652054794501</c:v>
                </c:pt>
                <c:pt idx="15">
                  <c:v>740.20792349726696</c:v>
                </c:pt>
                <c:pt idx="16">
                  <c:v>841.49024657534255</c:v>
                </c:pt>
                <c:pt idx="17">
                  <c:v>992.57799999999838</c:v>
                </c:pt>
                <c:pt idx="18">
                  <c:v>1080.696931506837</c:v>
                </c:pt>
                <c:pt idx="19">
                  <c:v>1247.54803278688</c:v>
                </c:pt>
                <c:pt idx="20">
                  <c:v>1294.3265808219101</c:v>
                </c:pt>
                <c:pt idx="21">
                  <c:v>1367.88927671232</c:v>
                </c:pt>
                <c:pt idx="22">
                  <c:v>1413.31528435616</c:v>
                </c:pt>
                <c:pt idx="23">
                  <c:v>1484.856961748633</c:v>
                </c:pt>
                <c:pt idx="24">
                  <c:v>1609.08860273972</c:v>
                </c:pt>
                <c:pt idx="25">
                  <c:v>1672.1004684931499</c:v>
                </c:pt>
                <c:pt idx="26">
                  <c:v>1683.5958356164299</c:v>
                </c:pt>
                <c:pt idx="27">
                  <c:v>1662.1035327868799</c:v>
                </c:pt>
                <c:pt idx="28">
                  <c:v>1720.140145205467</c:v>
                </c:pt>
                <c:pt idx="29">
                  <c:v>1700.9727232876701</c:v>
                </c:pt>
              </c:numCache>
            </c:numRef>
          </c:val>
          <c:smooth val="0"/>
        </c:ser>
        <c:ser>
          <c:idx val="2"/>
          <c:order val="2"/>
          <c:tx>
            <c:strRef>
              <c:f>'по странам'!$A$154</c:f>
              <c:strCache>
                <c:ptCount val="1"/>
                <c:pt idx="0">
                  <c:v>Потребление, тыс. барр. в сутки</c:v>
                </c:pt>
              </c:strCache>
            </c:strRef>
          </c:tx>
          <c:spPr>
            <a:ln>
              <a:solidFill>
                <a:srgbClr val="FF0000"/>
              </a:solidFill>
            </a:ln>
          </c:spPr>
          <c:marker>
            <c:symbol val="none"/>
          </c:marker>
          <c:cat>
            <c:numRef>
              <c:f>'по странам'!$G$151:$AJ$151</c:f>
              <c:numCache>
                <c:formatCode>General</c:formatCode>
                <c:ptCount val="30"/>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numCache>
            </c:numRef>
          </c:cat>
          <c:val>
            <c:numRef>
              <c:f>'по странам'!$G$154:$AJ$154</c:f>
              <c:numCache>
                <c:formatCode>General</c:formatCode>
                <c:ptCount val="30"/>
                <c:pt idx="0">
                  <c:v>421.05728767123202</c:v>
                </c:pt>
                <c:pt idx="1">
                  <c:v>384.110931506849</c:v>
                </c:pt>
                <c:pt idx="2">
                  <c:v>371.78821917808091</c:v>
                </c:pt>
                <c:pt idx="3">
                  <c:v>372.83377049180223</c:v>
                </c:pt>
                <c:pt idx="4">
                  <c:v>382.03657534246491</c:v>
                </c:pt>
                <c:pt idx="5">
                  <c:v>440.62106836313302</c:v>
                </c:pt>
                <c:pt idx="6">
                  <c:v>444.92976818496402</c:v>
                </c:pt>
                <c:pt idx="7">
                  <c:v>416.35655737704889</c:v>
                </c:pt>
                <c:pt idx="8">
                  <c:v>321.31506849315002</c:v>
                </c:pt>
                <c:pt idx="9">
                  <c:v>248.0879452054794</c:v>
                </c:pt>
                <c:pt idx="10">
                  <c:v>243.4471232876713</c:v>
                </c:pt>
                <c:pt idx="11">
                  <c:v>205.8504098360655</c:v>
                </c:pt>
                <c:pt idx="12">
                  <c:v>207.925890410958</c:v>
                </c:pt>
                <c:pt idx="13">
                  <c:v>172.91794520547899</c:v>
                </c:pt>
                <c:pt idx="14">
                  <c:v>144.4304109589047</c:v>
                </c:pt>
                <c:pt idx="15">
                  <c:v>146.89975409835941</c:v>
                </c:pt>
                <c:pt idx="16">
                  <c:v>156.86468493150559</c:v>
                </c:pt>
                <c:pt idx="17">
                  <c:v>169.4351232876713</c:v>
                </c:pt>
                <c:pt idx="18">
                  <c:v>182.6174794520544</c:v>
                </c:pt>
                <c:pt idx="19">
                  <c:v>196.47972677595601</c:v>
                </c:pt>
                <c:pt idx="20">
                  <c:v>203.51796164383501</c:v>
                </c:pt>
                <c:pt idx="21">
                  <c:v>210.27023627397199</c:v>
                </c:pt>
                <c:pt idx="22">
                  <c:v>233.37888887671201</c:v>
                </c:pt>
                <c:pt idx="23">
                  <c:v>228.60491661202099</c:v>
                </c:pt>
                <c:pt idx="24">
                  <c:v>187.73633906849349</c:v>
                </c:pt>
                <c:pt idx="25">
                  <c:v>196.05143232876739</c:v>
                </c:pt>
                <c:pt idx="26">
                  <c:v>255.3346321095886</c:v>
                </c:pt>
                <c:pt idx="27">
                  <c:v>273.04192163934522</c:v>
                </c:pt>
                <c:pt idx="28">
                  <c:v>273.07641194520329</c:v>
                </c:pt>
                <c:pt idx="29">
                  <c:v>275.87946145907802</c:v>
                </c:pt>
              </c:numCache>
            </c:numRef>
          </c:val>
          <c:smooth val="0"/>
        </c:ser>
        <c:dLbls>
          <c:showLegendKey val="0"/>
          <c:showVal val="0"/>
          <c:showCatName val="0"/>
          <c:showSerName val="0"/>
          <c:showPercent val="0"/>
          <c:showBubbleSize val="0"/>
        </c:dLbls>
        <c:marker val="1"/>
        <c:smooth val="0"/>
        <c:axId val="149712896"/>
        <c:axId val="149714432"/>
      </c:lineChart>
      <c:catAx>
        <c:axId val="149712896"/>
        <c:scaling>
          <c:orientation val="minMax"/>
        </c:scaling>
        <c:delete val="0"/>
        <c:axPos val="b"/>
        <c:numFmt formatCode="General" sourceLinked="1"/>
        <c:majorTickMark val="out"/>
        <c:minorTickMark val="none"/>
        <c:tickLblPos val="nextTo"/>
        <c:crossAx val="149714432"/>
        <c:crosses val="autoZero"/>
        <c:auto val="1"/>
        <c:lblAlgn val="ctr"/>
        <c:lblOffset val="100"/>
        <c:tickLblSkip val="2"/>
        <c:tickMarkSkip val="1"/>
        <c:noMultiLvlLbl val="0"/>
      </c:catAx>
      <c:valAx>
        <c:axId val="149714432"/>
        <c:scaling>
          <c:orientation val="minMax"/>
          <c:max val="1800"/>
        </c:scaling>
        <c:delete val="0"/>
        <c:axPos val="l"/>
        <c:numFmt formatCode="General" sourceLinked="1"/>
        <c:majorTickMark val="out"/>
        <c:minorTickMark val="none"/>
        <c:tickLblPos val="nextTo"/>
        <c:crossAx val="149712896"/>
        <c:crosses val="autoZero"/>
        <c:crossBetween val="between"/>
      </c:valAx>
      <c:valAx>
        <c:axId val="149715968"/>
        <c:scaling>
          <c:orientation val="minMax"/>
          <c:max val="40"/>
        </c:scaling>
        <c:delete val="0"/>
        <c:axPos val="r"/>
        <c:numFmt formatCode="General" sourceLinked="1"/>
        <c:majorTickMark val="out"/>
        <c:minorTickMark val="none"/>
        <c:tickLblPos val="nextTo"/>
        <c:crossAx val="149721856"/>
        <c:crosses val="max"/>
        <c:crossBetween val="between"/>
        <c:majorUnit val="10"/>
      </c:valAx>
      <c:catAx>
        <c:axId val="149721856"/>
        <c:scaling>
          <c:orientation val="minMax"/>
        </c:scaling>
        <c:delete val="1"/>
        <c:axPos val="b"/>
        <c:numFmt formatCode="General" sourceLinked="1"/>
        <c:majorTickMark val="out"/>
        <c:minorTickMark val="none"/>
        <c:tickLblPos val="none"/>
        <c:crossAx val="149715968"/>
        <c:crosses val="autoZero"/>
        <c:auto val="1"/>
        <c:lblAlgn val="ctr"/>
        <c:lblOffset val="100"/>
        <c:noMultiLvlLbl val="0"/>
      </c:catAx>
    </c:plotArea>
    <c:legend>
      <c:legendPos val="r"/>
      <c:layout>
        <c:manualLayout>
          <c:xMode val="edge"/>
          <c:yMode val="edge"/>
          <c:x val="7.3321298252352604E-2"/>
          <c:y val="2.7201808107320299E-2"/>
          <c:w val="0.41473126922737003"/>
          <c:h val="0.21874416739574301"/>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068130155605907E-2"/>
          <c:y val="5.1400554097404502E-2"/>
          <c:w val="0.87624320397451005"/>
          <c:h val="0.79523549139690797"/>
        </c:manualLayout>
      </c:layout>
      <c:barChart>
        <c:barDir val="col"/>
        <c:grouping val="clustered"/>
        <c:varyColors val="0"/>
        <c:ser>
          <c:idx val="0"/>
          <c:order val="0"/>
          <c:tx>
            <c:strRef>
              <c:f>'по странам'!$A$152</c:f>
              <c:strCache>
                <c:ptCount val="1"/>
                <c:pt idx="0">
                  <c:v>Запасы, млрд. барр. (прав. шкала)</c:v>
                </c:pt>
              </c:strCache>
            </c:strRef>
          </c:tx>
          <c:spPr>
            <a:solidFill>
              <a:schemeClr val="tx2">
                <a:lumMod val="20000"/>
                <a:lumOff val="80000"/>
              </a:schemeClr>
            </a:solidFill>
          </c:spPr>
          <c:invertIfNegative val="0"/>
          <c:cat>
            <c:numRef>
              <c:f>'по странам'!$G$151:$AJ$151</c:f>
              <c:numCache>
                <c:formatCode>General</c:formatCode>
                <c:ptCount val="30"/>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numCache>
            </c:numRef>
          </c:cat>
          <c:val>
            <c:numRef>
              <c:f>'по странам'!$G$226:$AJ$226</c:f>
              <c:numCache>
                <c:formatCode>General</c:formatCode>
                <c:ptCount val="30"/>
                <c:pt idx="6">
                  <c:v>116.14926624298</c:v>
                </c:pt>
                <c:pt idx="7">
                  <c:v>116.14926624298</c:v>
                </c:pt>
                <c:pt idx="8">
                  <c:v>115.07668018341001</c:v>
                </c:pt>
                <c:pt idx="9">
                  <c:v>115.07668018341001</c:v>
                </c:pt>
                <c:pt idx="10">
                  <c:v>113.607233047485</c:v>
                </c:pt>
                <c:pt idx="11">
                  <c:v>113.607233047485</c:v>
                </c:pt>
                <c:pt idx="12">
                  <c:v>113.111996650695</c:v>
                </c:pt>
                <c:pt idx="13">
                  <c:v>113.111996650695</c:v>
                </c:pt>
                <c:pt idx="14">
                  <c:v>112.11201858520501</c:v>
                </c:pt>
                <c:pt idx="15">
                  <c:v>112.11201858520501</c:v>
                </c:pt>
                <c:pt idx="16">
                  <c:v>111.295177459716</c:v>
                </c:pt>
                <c:pt idx="17">
                  <c:v>109.67724800109799</c:v>
                </c:pt>
                <c:pt idx="18">
                  <c:v>107.76669979095399</c:v>
                </c:pt>
                <c:pt idx="19">
                  <c:v>105.46367740631101</c:v>
                </c:pt>
                <c:pt idx="20">
                  <c:v>104.4048166275023</c:v>
                </c:pt>
                <c:pt idx="21">
                  <c:v>104.033726692199</c:v>
                </c:pt>
                <c:pt idx="22">
                  <c:v>106.4270296096804</c:v>
                </c:pt>
                <c:pt idx="23">
                  <c:v>106.366164207458</c:v>
                </c:pt>
                <c:pt idx="24">
                  <c:v>105.56395435333199</c:v>
                </c:pt>
                <c:pt idx="25">
                  <c:v>105.8003549575797</c:v>
                </c:pt>
                <c:pt idx="26">
                  <c:v>105.70944786071701</c:v>
                </c:pt>
                <c:pt idx="27">
                  <c:v>105.4915885925287</c:v>
                </c:pt>
                <c:pt idx="28">
                  <c:v>105.0164146423333</c:v>
                </c:pt>
                <c:pt idx="29">
                  <c:v>103.16389465332</c:v>
                </c:pt>
              </c:numCache>
            </c:numRef>
          </c:val>
        </c:ser>
        <c:dLbls>
          <c:showLegendKey val="0"/>
          <c:showVal val="0"/>
          <c:showCatName val="0"/>
          <c:showSerName val="0"/>
          <c:showPercent val="0"/>
          <c:showBubbleSize val="0"/>
        </c:dLbls>
        <c:gapWidth val="50"/>
        <c:axId val="151334912"/>
        <c:axId val="151329024"/>
      </c:barChart>
      <c:lineChart>
        <c:grouping val="standard"/>
        <c:varyColors val="0"/>
        <c:ser>
          <c:idx val="1"/>
          <c:order val="1"/>
          <c:tx>
            <c:strRef>
              <c:f>'по странам'!$A$153</c:f>
              <c:strCache>
                <c:ptCount val="1"/>
                <c:pt idx="0">
                  <c:v>Добыча, тыс. барр. в сутки</c:v>
                </c:pt>
              </c:strCache>
            </c:strRef>
          </c:tx>
          <c:spPr>
            <a:ln>
              <a:solidFill>
                <a:srgbClr val="002060"/>
              </a:solidFill>
            </a:ln>
          </c:spPr>
          <c:marker>
            <c:symbol val="none"/>
          </c:marker>
          <c:cat>
            <c:numRef>
              <c:f>'по странам'!$G$151:$AJ$151</c:f>
              <c:numCache>
                <c:formatCode>General</c:formatCode>
                <c:ptCount val="30"/>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numCache>
            </c:numRef>
          </c:cat>
          <c:val>
            <c:numRef>
              <c:f>'по странам'!$G$227:$AJ$227</c:f>
              <c:numCache>
                <c:formatCode>General</c:formatCode>
                <c:ptCount val="30"/>
                <c:pt idx="0">
                  <c:v>10862.591671232811</c:v>
                </c:pt>
                <c:pt idx="1">
                  <c:v>11246.881643835601</c:v>
                </c:pt>
                <c:pt idx="2">
                  <c:v>11416.3334246575</c:v>
                </c:pt>
                <c:pt idx="3">
                  <c:v>11372.755355191201</c:v>
                </c:pt>
                <c:pt idx="4">
                  <c:v>11070.064109589001</c:v>
                </c:pt>
                <c:pt idx="5">
                  <c:v>10342.44312328755</c:v>
                </c:pt>
                <c:pt idx="6">
                  <c:v>9263.6959999999453</c:v>
                </c:pt>
                <c:pt idx="7">
                  <c:v>7978.1863387978283</c:v>
                </c:pt>
                <c:pt idx="8">
                  <c:v>7118.8562739726203</c:v>
                </c:pt>
                <c:pt idx="9">
                  <c:v>6370.7247123287398</c:v>
                </c:pt>
                <c:pt idx="10">
                  <c:v>6235.7769315068444</c:v>
                </c:pt>
                <c:pt idx="11">
                  <c:v>6061.5919672131104</c:v>
                </c:pt>
                <c:pt idx="12">
                  <c:v>6170.6748493150599</c:v>
                </c:pt>
                <c:pt idx="13">
                  <c:v>6109.9982465753583</c:v>
                </c:pt>
                <c:pt idx="14">
                  <c:v>6118.7800547945199</c:v>
                </c:pt>
                <c:pt idx="15">
                  <c:v>6582.8305040983614</c:v>
                </c:pt>
                <c:pt idx="16">
                  <c:v>7105.8320999999914</c:v>
                </c:pt>
                <c:pt idx="17">
                  <c:v>7754.7908556164284</c:v>
                </c:pt>
                <c:pt idx="18">
                  <c:v>8602.475187506825</c:v>
                </c:pt>
                <c:pt idx="19">
                  <c:v>9335.0815787978099</c:v>
                </c:pt>
                <c:pt idx="20">
                  <c:v>9597.6551582830452</c:v>
                </c:pt>
                <c:pt idx="21">
                  <c:v>9818.2087268659707</c:v>
                </c:pt>
                <c:pt idx="22">
                  <c:v>10043.6675978082</c:v>
                </c:pt>
                <c:pt idx="23">
                  <c:v>9950.475220858465</c:v>
                </c:pt>
                <c:pt idx="24">
                  <c:v>10138.989862310111</c:v>
                </c:pt>
                <c:pt idx="25">
                  <c:v>10365.659454209301</c:v>
                </c:pt>
                <c:pt idx="26">
                  <c:v>10515.958794680429</c:v>
                </c:pt>
                <c:pt idx="27">
                  <c:v>10639.974232761</c:v>
                </c:pt>
                <c:pt idx="28">
                  <c:v>10776.673930393101</c:v>
                </c:pt>
                <c:pt idx="29">
                  <c:v>10837.603282099741</c:v>
                </c:pt>
              </c:numCache>
            </c:numRef>
          </c:val>
          <c:smooth val="0"/>
        </c:ser>
        <c:ser>
          <c:idx val="2"/>
          <c:order val="2"/>
          <c:tx>
            <c:strRef>
              <c:f>'по странам'!$A$154</c:f>
              <c:strCache>
                <c:ptCount val="1"/>
                <c:pt idx="0">
                  <c:v>Потребление, тыс. барр. в сутки</c:v>
                </c:pt>
              </c:strCache>
            </c:strRef>
          </c:tx>
          <c:spPr>
            <a:ln>
              <a:solidFill>
                <a:srgbClr val="FF0000"/>
              </a:solidFill>
            </a:ln>
          </c:spPr>
          <c:marker>
            <c:symbol val="none"/>
          </c:marker>
          <c:cat>
            <c:numRef>
              <c:f>'по странам'!$G$151:$AJ$151</c:f>
              <c:numCache>
                <c:formatCode>General</c:formatCode>
                <c:ptCount val="30"/>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numCache>
            </c:numRef>
          </c:cat>
          <c:val>
            <c:numRef>
              <c:f>'по странам'!$G$228:$AJ$228</c:f>
              <c:numCache>
                <c:formatCode>General</c:formatCode>
                <c:ptCount val="30"/>
                <c:pt idx="0">
                  <c:v>4943.6783835616434</c:v>
                </c:pt>
                <c:pt idx="1">
                  <c:v>5006.3106301369944</c:v>
                </c:pt>
                <c:pt idx="2">
                  <c:v>5050.7948767123198</c:v>
                </c:pt>
                <c:pt idx="3">
                  <c:v>5000.7016120218514</c:v>
                </c:pt>
                <c:pt idx="4">
                  <c:v>5111.4492876712202</c:v>
                </c:pt>
                <c:pt idx="5">
                  <c:v>5042.2818003065286</c:v>
                </c:pt>
                <c:pt idx="6">
                  <c:v>4917.0500105111914</c:v>
                </c:pt>
                <c:pt idx="7">
                  <c:v>4742.0091803278601</c:v>
                </c:pt>
                <c:pt idx="8">
                  <c:v>3948.0181369863139</c:v>
                </c:pt>
                <c:pt idx="9">
                  <c:v>3530.53863006958</c:v>
                </c:pt>
                <c:pt idx="10">
                  <c:v>3104.9695590865722</c:v>
                </c:pt>
                <c:pt idx="11">
                  <c:v>2645.4647990448002</c:v>
                </c:pt>
                <c:pt idx="12">
                  <c:v>2656.6279916564299</c:v>
                </c:pt>
                <c:pt idx="13">
                  <c:v>2512.2881477555002</c:v>
                </c:pt>
                <c:pt idx="14">
                  <c:v>2588.1107149736422</c:v>
                </c:pt>
                <c:pt idx="15">
                  <c:v>2542.2284438777101</c:v>
                </c:pt>
                <c:pt idx="16">
                  <c:v>2628.2668506665991</c:v>
                </c:pt>
                <c:pt idx="17">
                  <c:v>2558.7407205479399</c:v>
                </c:pt>
                <c:pt idx="18">
                  <c:v>2678.7948277668279</c:v>
                </c:pt>
                <c:pt idx="19">
                  <c:v>2659.6652073893902</c:v>
                </c:pt>
                <c:pt idx="20">
                  <c:v>2678.8591209041101</c:v>
                </c:pt>
                <c:pt idx="21">
                  <c:v>2760.9684521081299</c:v>
                </c:pt>
                <c:pt idx="22">
                  <c:v>2780.4756706955682</c:v>
                </c:pt>
                <c:pt idx="23">
                  <c:v>2865.5546767107298</c:v>
                </c:pt>
                <c:pt idx="24">
                  <c:v>2773.9105859103802</c:v>
                </c:pt>
                <c:pt idx="25">
                  <c:v>2894.7711565757049</c:v>
                </c:pt>
                <c:pt idx="26">
                  <c:v>3096.0060327371698</c:v>
                </c:pt>
                <c:pt idx="27">
                  <c:v>3137.3185043512012</c:v>
                </c:pt>
                <c:pt idx="28">
                  <c:v>3178.6877952377599</c:v>
                </c:pt>
                <c:pt idx="29">
                  <c:v>3195.8637145887601</c:v>
                </c:pt>
              </c:numCache>
            </c:numRef>
          </c:val>
          <c:smooth val="0"/>
        </c:ser>
        <c:dLbls>
          <c:showLegendKey val="0"/>
          <c:showVal val="0"/>
          <c:showCatName val="0"/>
          <c:showSerName val="0"/>
          <c:showPercent val="0"/>
          <c:showBubbleSize val="0"/>
        </c:dLbls>
        <c:marker val="1"/>
        <c:smooth val="0"/>
        <c:axId val="151325696"/>
        <c:axId val="151327488"/>
      </c:lineChart>
      <c:catAx>
        <c:axId val="151325696"/>
        <c:scaling>
          <c:orientation val="minMax"/>
        </c:scaling>
        <c:delete val="0"/>
        <c:axPos val="b"/>
        <c:numFmt formatCode="General" sourceLinked="1"/>
        <c:majorTickMark val="out"/>
        <c:minorTickMark val="none"/>
        <c:tickLblPos val="nextTo"/>
        <c:crossAx val="151327488"/>
        <c:crosses val="autoZero"/>
        <c:auto val="1"/>
        <c:lblAlgn val="ctr"/>
        <c:lblOffset val="100"/>
        <c:tickLblSkip val="2"/>
        <c:noMultiLvlLbl val="0"/>
      </c:catAx>
      <c:valAx>
        <c:axId val="151327488"/>
        <c:scaling>
          <c:orientation val="minMax"/>
          <c:max val="13000"/>
          <c:min val="0"/>
        </c:scaling>
        <c:delete val="0"/>
        <c:axPos val="l"/>
        <c:numFmt formatCode="General" sourceLinked="1"/>
        <c:majorTickMark val="out"/>
        <c:minorTickMark val="none"/>
        <c:tickLblPos val="nextTo"/>
        <c:crossAx val="151325696"/>
        <c:crosses val="autoZero"/>
        <c:crossBetween val="between"/>
      </c:valAx>
      <c:valAx>
        <c:axId val="151329024"/>
        <c:scaling>
          <c:orientation val="minMax"/>
          <c:max val="160"/>
          <c:min val="0"/>
        </c:scaling>
        <c:delete val="0"/>
        <c:axPos val="r"/>
        <c:numFmt formatCode="General" sourceLinked="1"/>
        <c:majorTickMark val="out"/>
        <c:minorTickMark val="none"/>
        <c:tickLblPos val="nextTo"/>
        <c:crossAx val="151334912"/>
        <c:crosses val="max"/>
        <c:crossBetween val="between"/>
        <c:majorUnit val="50"/>
      </c:valAx>
      <c:catAx>
        <c:axId val="151334912"/>
        <c:scaling>
          <c:orientation val="minMax"/>
        </c:scaling>
        <c:delete val="1"/>
        <c:axPos val="b"/>
        <c:numFmt formatCode="General" sourceLinked="1"/>
        <c:majorTickMark val="out"/>
        <c:minorTickMark val="none"/>
        <c:tickLblPos val="none"/>
        <c:crossAx val="151329024"/>
        <c:crosses val="autoZero"/>
        <c:auto val="1"/>
        <c:lblAlgn val="ctr"/>
        <c:lblOffset val="100"/>
        <c:noMultiLvlLbl val="0"/>
      </c:catAx>
    </c:plotArea>
    <c:legend>
      <c:legendPos val="r"/>
      <c:layout>
        <c:manualLayout>
          <c:xMode val="edge"/>
          <c:yMode val="edge"/>
          <c:x val="0.27443541497451801"/>
          <c:y val="1.39665473870479E-3"/>
          <c:w val="0.41458094328268003"/>
          <c:h val="0.24111993113543301"/>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991305774278103E-2"/>
          <c:y val="3.8982419131172202E-2"/>
          <c:w val="0.92309202755905595"/>
          <c:h val="0.796184663988599"/>
        </c:manualLayout>
      </c:layout>
      <c:barChart>
        <c:barDir val="col"/>
        <c:grouping val="clustered"/>
        <c:varyColors val="0"/>
        <c:ser>
          <c:idx val="0"/>
          <c:order val="0"/>
          <c:tx>
            <c:strRef>
              <c:f>Таблицы!$B$267</c:f>
              <c:strCache>
                <c:ptCount val="1"/>
                <c:pt idx="0">
                  <c:v>Первичная переработка нефтяного сырья на НПЗ России, %</c:v>
                </c:pt>
              </c:strCache>
            </c:strRef>
          </c:tx>
          <c:invertIfNegative val="0"/>
          <c:cat>
            <c:numRef>
              <c:f>Таблицы!$A$280:$A$299</c:f>
              <c:numCache>
                <c:formatCode>mmm\-yy</c:formatCode>
                <c:ptCount val="2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numCache>
            </c:numRef>
          </c:cat>
          <c:val>
            <c:numRef>
              <c:f>Таблицы!$D$280:$D$299</c:f>
              <c:numCache>
                <c:formatCode>General</c:formatCode>
                <c:ptCount val="20"/>
                <c:pt idx="0">
                  <c:v>4.2</c:v>
                </c:pt>
                <c:pt idx="1">
                  <c:v>5.7</c:v>
                </c:pt>
                <c:pt idx="2">
                  <c:v>9</c:v>
                </c:pt>
                <c:pt idx="3">
                  <c:v>11.3</c:v>
                </c:pt>
                <c:pt idx="4">
                  <c:v>7</c:v>
                </c:pt>
                <c:pt idx="5">
                  <c:v>5.9</c:v>
                </c:pt>
                <c:pt idx="6">
                  <c:v>1.4</c:v>
                </c:pt>
                <c:pt idx="7">
                  <c:v>4.4000000000000004</c:v>
                </c:pt>
                <c:pt idx="8">
                  <c:v>5.6</c:v>
                </c:pt>
                <c:pt idx="9">
                  <c:v>8.7000000000000011</c:v>
                </c:pt>
                <c:pt idx="10">
                  <c:v>5.3</c:v>
                </c:pt>
                <c:pt idx="11">
                  <c:v>3.2</c:v>
                </c:pt>
                <c:pt idx="12">
                  <c:v>1.1000000000000001</c:v>
                </c:pt>
                <c:pt idx="13">
                  <c:v>0.70000000000000095</c:v>
                </c:pt>
                <c:pt idx="14">
                  <c:v>4</c:v>
                </c:pt>
                <c:pt idx="15">
                  <c:v>1.1000000000000001</c:v>
                </c:pt>
                <c:pt idx="16">
                  <c:v>1.9</c:v>
                </c:pt>
                <c:pt idx="17">
                  <c:v>5.0999999999999996</c:v>
                </c:pt>
                <c:pt idx="18">
                  <c:v>1.5</c:v>
                </c:pt>
                <c:pt idx="19">
                  <c:v>2.5</c:v>
                </c:pt>
              </c:numCache>
            </c:numRef>
          </c:val>
        </c:ser>
        <c:dLbls>
          <c:showLegendKey val="0"/>
          <c:showVal val="0"/>
          <c:showCatName val="0"/>
          <c:showSerName val="0"/>
          <c:showPercent val="0"/>
          <c:showBubbleSize val="0"/>
        </c:dLbls>
        <c:gapWidth val="150"/>
        <c:axId val="151358848"/>
        <c:axId val="151360640"/>
      </c:barChart>
      <c:dateAx>
        <c:axId val="151358848"/>
        <c:scaling>
          <c:orientation val="minMax"/>
          <c:max val="42217"/>
          <c:min val="41640"/>
        </c:scaling>
        <c:delete val="0"/>
        <c:axPos val="b"/>
        <c:numFmt formatCode="[$-419]mmmm\ yyyy;@" sourceLinked="0"/>
        <c:majorTickMark val="out"/>
        <c:minorTickMark val="none"/>
        <c:tickLblPos val="nextTo"/>
        <c:txPr>
          <a:bodyPr rot="-5400000" vert="horz"/>
          <a:lstStyle/>
          <a:p>
            <a:pPr>
              <a:defRPr/>
            </a:pPr>
            <a:endParaRPr lang="ru-RU"/>
          </a:p>
        </c:txPr>
        <c:crossAx val="151360640"/>
        <c:crosses val="autoZero"/>
        <c:auto val="1"/>
        <c:lblOffset val="100"/>
        <c:baseTimeUnit val="months"/>
        <c:majorUnit val="3"/>
        <c:majorTimeUnit val="months"/>
        <c:minorUnit val="1"/>
        <c:minorTimeUnit val="months"/>
      </c:dateAx>
      <c:valAx>
        <c:axId val="151360640"/>
        <c:scaling>
          <c:orientation val="minMax"/>
          <c:max val="12"/>
          <c:min val="0"/>
        </c:scaling>
        <c:delete val="0"/>
        <c:axPos val="l"/>
        <c:numFmt formatCode="General" sourceLinked="1"/>
        <c:majorTickMark val="out"/>
        <c:minorTickMark val="none"/>
        <c:tickLblPos val="nextTo"/>
        <c:crossAx val="151358848"/>
        <c:crosses val="autoZero"/>
        <c:crossBetween val="between"/>
        <c:majorUnit val="2"/>
        <c:minorUnit val="2"/>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205314210753099E-2"/>
          <c:y val="5.0438596491228102E-2"/>
          <c:w val="0.92421163407050499"/>
          <c:h val="0.79367454068241505"/>
        </c:manualLayout>
      </c:layout>
      <c:barChart>
        <c:barDir val="col"/>
        <c:grouping val="clustered"/>
        <c:varyColors val="0"/>
        <c:ser>
          <c:idx val="0"/>
          <c:order val="0"/>
          <c:tx>
            <c:strRef>
              <c:f>Таблицы!$D$249</c:f>
              <c:strCache>
                <c:ptCount val="1"/>
                <c:pt idx="0">
                  <c:v>Индекс потребительских цен на бензин АИ-92    
</c:v>
                </c:pt>
              </c:strCache>
            </c:strRef>
          </c:tx>
          <c:spPr>
            <a:solidFill>
              <a:schemeClr val="tx2">
                <a:lumMod val="20000"/>
                <a:lumOff val="80000"/>
              </a:schemeClr>
            </a:solidFill>
          </c:spPr>
          <c:invertIfNegative val="0"/>
          <c:cat>
            <c:numRef>
              <c:f>Таблицы!$F$248:$K$248</c:f>
              <c:numCache>
                <c:formatCode>0</c:formatCode>
                <c:ptCount val="6"/>
                <c:pt idx="0">
                  <c:v>2010</c:v>
                </c:pt>
                <c:pt idx="1">
                  <c:v>2011</c:v>
                </c:pt>
                <c:pt idx="2">
                  <c:v>2012</c:v>
                </c:pt>
                <c:pt idx="3">
                  <c:v>2013</c:v>
                </c:pt>
                <c:pt idx="4">
                  <c:v>2014</c:v>
                </c:pt>
                <c:pt idx="5">
                  <c:v>2015</c:v>
                </c:pt>
              </c:numCache>
            </c:numRef>
          </c:cat>
          <c:val>
            <c:numRef>
              <c:f>Таблицы!$F$249:$K$249</c:f>
              <c:numCache>
                <c:formatCode>0.00</c:formatCode>
                <c:ptCount val="6"/>
                <c:pt idx="0">
                  <c:v>7.3</c:v>
                </c:pt>
                <c:pt idx="1">
                  <c:v>12.7</c:v>
                </c:pt>
                <c:pt idx="2">
                  <c:v>6.23</c:v>
                </c:pt>
                <c:pt idx="3">
                  <c:v>5.3199999999999976</c:v>
                </c:pt>
                <c:pt idx="4">
                  <c:v>9.67</c:v>
                </c:pt>
                <c:pt idx="5">
                  <c:v>4.8</c:v>
                </c:pt>
              </c:numCache>
            </c:numRef>
          </c:val>
        </c:ser>
        <c:ser>
          <c:idx val="1"/>
          <c:order val="1"/>
          <c:tx>
            <c:strRef>
              <c:f>Таблицы!$D$250</c:f>
              <c:strCache>
                <c:ptCount val="1"/>
                <c:pt idx="0">
                  <c:v>Инфляция</c:v>
                </c:pt>
              </c:strCache>
            </c:strRef>
          </c:tx>
          <c:spPr>
            <a:solidFill>
              <a:srgbClr val="002060"/>
            </a:solidFill>
          </c:spPr>
          <c:invertIfNegative val="0"/>
          <c:cat>
            <c:numRef>
              <c:f>Таблицы!$F$248:$K$248</c:f>
              <c:numCache>
                <c:formatCode>0</c:formatCode>
                <c:ptCount val="6"/>
                <c:pt idx="0">
                  <c:v>2010</c:v>
                </c:pt>
                <c:pt idx="1">
                  <c:v>2011</c:v>
                </c:pt>
                <c:pt idx="2">
                  <c:v>2012</c:v>
                </c:pt>
                <c:pt idx="3">
                  <c:v>2013</c:v>
                </c:pt>
                <c:pt idx="4">
                  <c:v>2014</c:v>
                </c:pt>
                <c:pt idx="5">
                  <c:v>2015</c:v>
                </c:pt>
              </c:numCache>
            </c:numRef>
          </c:cat>
          <c:val>
            <c:numRef>
              <c:f>Таблицы!$F$250:$K$250</c:f>
              <c:numCache>
                <c:formatCode>0.00</c:formatCode>
                <c:ptCount val="6"/>
                <c:pt idx="0">
                  <c:v>8.7800000000000011</c:v>
                </c:pt>
                <c:pt idx="1">
                  <c:v>6.1</c:v>
                </c:pt>
                <c:pt idx="2">
                  <c:v>6.58</c:v>
                </c:pt>
                <c:pt idx="3">
                  <c:v>6.45</c:v>
                </c:pt>
                <c:pt idx="4">
                  <c:v>11.360000000000021</c:v>
                </c:pt>
                <c:pt idx="5">
                  <c:v>9.82</c:v>
                </c:pt>
              </c:numCache>
            </c:numRef>
          </c:val>
        </c:ser>
        <c:dLbls>
          <c:showLegendKey val="0"/>
          <c:showVal val="0"/>
          <c:showCatName val="0"/>
          <c:showSerName val="0"/>
          <c:showPercent val="0"/>
          <c:showBubbleSize val="0"/>
        </c:dLbls>
        <c:gapWidth val="150"/>
        <c:axId val="151372928"/>
        <c:axId val="151374464"/>
      </c:barChart>
      <c:catAx>
        <c:axId val="151372928"/>
        <c:scaling>
          <c:orientation val="minMax"/>
        </c:scaling>
        <c:delete val="0"/>
        <c:axPos val="b"/>
        <c:numFmt formatCode="0" sourceLinked="1"/>
        <c:majorTickMark val="out"/>
        <c:minorTickMark val="none"/>
        <c:tickLblPos val="nextTo"/>
        <c:crossAx val="151374464"/>
        <c:crosses val="autoZero"/>
        <c:auto val="1"/>
        <c:lblAlgn val="ctr"/>
        <c:lblOffset val="100"/>
        <c:noMultiLvlLbl val="0"/>
      </c:catAx>
      <c:valAx>
        <c:axId val="151374464"/>
        <c:scaling>
          <c:orientation val="minMax"/>
        </c:scaling>
        <c:delete val="0"/>
        <c:axPos val="l"/>
        <c:numFmt formatCode="0" sourceLinked="0"/>
        <c:majorTickMark val="out"/>
        <c:minorTickMark val="none"/>
        <c:tickLblPos val="nextTo"/>
        <c:crossAx val="151372928"/>
        <c:crosses val="autoZero"/>
        <c:crossBetween val="between"/>
      </c:valAx>
    </c:plotArea>
    <c:legend>
      <c:legendPos val="b"/>
      <c:layout>
        <c:manualLayout>
          <c:xMode val="edge"/>
          <c:yMode val="edge"/>
          <c:x val="0.351201533125716"/>
          <c:y val="5.28659798576726E-2"/>
          <c:w val="0.63223621516459505"/>
          <c:h val="0.47246513234266402"/>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053955521217498E-3"/>
          <c:y val="0"/>
          <c:w val="0.98591490671203497"/>
          <c:h val="0.84892095554803504"/>
        </c:manualLayout>
      </c:layout>
      <c:barChart>
        <c:barDir val="col"/>
        <c:grouping val="stacked"/>
        <c:varyColors val="0"/>
        <c:ser>
          <c:idx val="0"/>
          <c:order val="0"/>
          <c:tx>
            <c:strRef>
              <c:f>Таблицы!$F$282</c:f>
              <c:strCache>
                <c:ptCount val="1"/>
                <c:pt idx="0">
                  <c:v>Проходка бурения, млн. м.</c:v>
                </c:pt>
              </c:strCache>
            </c:strRef>
          </c:tx>
          <c:invertIfNegative val="0"/>
          <c:dLbls>
            <c:numFmt formatCode="#,##0" sourceLinked="0"/>
            <c:txPr>
              <a:bodyPr/>
              <a:lstStyle/>
              <a:p>
                <a:pPr>
                  <a:defRPr sz="1200" b="1">
                    <a:solidFill>
                      <a:schemeClr val="bg1"/>
                    </a:solidFill>
                  </a:defRPr>
                </a:pPr>
                <a:endParaRPr lang="ru-RU"/>
              </a:p>
            </c:txPr>
            <c:showLegendKey val="0"/>
            <c:showVal val="1"/>
            <c:showCatName val="0"/>
            <c:showSerName val="0"/>
            <c:showPercent val="0"/>
            <c:showBubbleSize val="0"/>
            <c:showLeaderLines val="0"/>
          </c:dLbls>
          <c:cat>
            <c:strRef>
              <c:f>Таблицы!$F$284:$F$294</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Таблицы!$G$284:$G$294</c:f>
              <c:numCache>
                <c:formatCode>General</c:formatCode>
                <c:ptCount val="11"/>
                <c:pt idx="0">
                  <c:v>10.1</c:v>
                </c:pt>
                <c:pt idx="1">
                  <c:v>12.3</c:v>
                </c:pt>
                <c:pt idx="2">
                  <c:v>14.6</c:v>
                </c:pt>
                <c:pt idx="3">
                  <c:v>15.4</c:v>
                </c:pt>
                <c:pt idx="4">
                  <c:v>14.5</c:v>
                </c:pt>
                <c:pt idx="5">
                  <c:v>17.2</c:v>
                </c:pt>
                <c:pt idx="6">
                  <c:v>18.7</c:v>
                </c:pt>
                <c:pt idx="7">
                  <c:v>20.5</c:v>
                </c:pt>
                <c:pt idx="8">
                  <c:v>21.6</c:v>
                </c:pt>
                <c:pt idx="9">
                  <c:v>20.09</c:v>
                </c:pt>
                <c:pt idx="10">
                  <c:v>21</c:v>
                </c:pt>
              </c:numCache>
            </c:numRef>
          </c:val>
        </c:ser>
        <c:dLbls>
          <c:showLegendKey val="0"/>
          <c:showVal val="0"/>
          <c:showCatName val="0"/>
          <c:showSerName val="0"/>
          <c:showPercent val="0"/>
          <c:showBubbleSize val="0"/>
        </c:dLbls>
        <c:gapWidth val="14"/>
        <c:overlap val="100"/>
        <c:axId val="151398656"/>
        <c:axId val="151412736"/>
      </c:barChart>
      <c:catAx>
        <c:axId val="151398656"/>
        <c:scaling>
          <c:orientation val="minMax"/>
        </c:scaling>
        <c:delete val="0"/>
        <c:axPos val="b"/>
        <c:numFmt formatCode="General" sourceLinked="1"/>
        <c:majorTickMark val="out"/>
        <c:minorTickMark val="none"/>
        <c:tickLblPos val="nextTo"/>
        <c:crossAx val="151412736"/>
        <c:crosses val="autoZero"/>
        <c:auto val="1"/>
        <c:lblAlgn val="ctr"/>
        <c:lblOffset val="100"/>
        <c:tickLblSkip val="2"/>
        <c:noMultiLvlLbl val="0"/>
      </c:catAx>
      <c:valAx>
        <c:axId val="151412736"/>
        <c:scaling>
          <c:orientation val="minMax"/>
        </c:scaling>
        <c:delete val="1"/>
        <c:axPos val="l"/>
        <c:numFmt formatCode="General" sourceLinked="1"/>
        <c:majorTickMark val="out"/>
        <c:minorTickMark val="none"/>
        <c:tickLblPos val="none"/>
        <c:crossAx val="151398656"/>
        <c:crosses val="autoZero"/>
        <c:crossBetween val="between"/>
      </c:valAx>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361195532677197E-2"/>
          <c:y val="5.1400554097404502E-2"/>
          <c:w val="0.88215617418076098"/>
          <c:h val="0.77243438320210001"/>
        </c:manualLayout>
      </c:layout>
      <c:scatterChart>
        <c:scatterStyle val="lineMarker"/>
        <c:varyColors val="0"/>
        <c:ser>
          <c:idx val="0"/>
          <c:order val="0"/>
          <c:tx>
            <c:strRef>
              <c:f>Лист2!$P$6:$P$22</c:f>
              <c:strCache>
                <c:ptCount val="1"/>
                <c:pt idx="0">
                  <c:v>Бразилия Венесуэла Китай Мексика Россия Иран США Норвегия Великобритания Нигерия Казахстан Ирак Канада ОАЭ С. Аравия Кувейт Катар</c:v>
                </c:pt>
              </c:strCache>
            </c:strRef>
          </c:tx>
          <c:spPr>
            <a:ln w="28575">
              <a:noFill/>
            </a:ln>
          </c:spPr>
          <c:marker>
            <c:symbol val="circle"/>
            <c:size val="8"/>
          </c:marker>
          <c:dPt>
            <c:idx val="4"/>
            <c:marker>
              <c:symbol val="circle"/>
              <c:size val="14"/>
              <c:spPr>
                <a:solidFill>
                  <a:srgbClr val="FF0000"/>
                </a:solidFill>
              </c:spPr>
            </c:marker>
            <c:bubble3D val="0"/>
          </c:dPt>
          <c:dLbls>
            <c:dLbl>
              <c:idx val="0"/>
              <c:tx>
                <c:rich>
                  <a:bodyPr/>
                  <a:lstStyle/>
                  <a:p>
                    <a:r>
                      <a:rPr lang="ru-RU"/>
                      <a:t>Бразилия</a:t>
                    </a:r>
                    <a:endParaRPr lang="en-US"/>
                  </a:p>
                </c:rich>
              </c:tx>
              <c:showLegendKey val="0"/>
              <c:showVal val="1"/>
              <c:showCatName val="0"/>
              <c:showSerName val="0"/>
              <c:showPercent val="0"/>
              <c:showBubbleSize val="0"/>
            </c:dLbl>
            <c:dLbl>
              <c:idx val="1"/>
              <c:tx>
                <c:rich>
                  <a:bodyPr/>
                  <a:lstStyle/>
                  <a:p>
                    <a:r>
                      <a:rPr lang="ru-RU"/>
                      <a:t>Венесуэла</a:t>
                    </a:r>
                    <a:endParaRPr lang="en-US"/>
                  </a:p>
                </c:rich>
              </c:tx>
              <c:showLegendKey val="0"/>
              <c:showVal val="1"/>
              <c:showCatName val="0"/>
              <c:showSerName val="0"/>
              <c:showPercent val="0"/>
              <c:showBubbleSize val="0"/>
            </c:dLbl>
            <c:dLbl>
              <c:idx val="2"/>
              <c:tx>
                <c:rich>
                  <a:bodyPr/>
                  <a:lstStyle/>
                  <a:p>
                    <a:r>
                      <a:rPr lang="ru-RU"/>
                      <a:t>Китай</a:t>
                    </a:r>
                    <a:endParaRPr lang="en-US"/>
                  </a:p>
                </c:rich>
              </c:tx>
              <c:showLegendKey val="0"/>
              <c:showVal val="1"/>
              <c:showCatName val="0"/>
              <c:showSerName val="0"/>
              <c:showPercent val="0"/>
              <c:showBubbleSize val="0"/>
            </c:dLbl>
            <c:dLbl>
              <c:idx val="3"/>
              <c:tx>
                <c:rich>
                  <a:bodyPr/>
                  <a:lstStyle/>
                  <a:p>
                    <a:r>
                      <a:rPr lang="ru-RU"/>
                      <a:t>Мексика</a:t>
                    </a:r>
                    <a:endParaRPr lang="en-US"/>
                  </a:p>
                </c:rich>
              </c:tx>
              <c:showLegendKey val="0"/>
              <c:showVal val="1"/>
              <c:showCatName val="0"/>
              <c:showSerName val="0"/>
              <c:showPercent val="0"/>
              <c:showBubbleSize val="0"/>
            </c:dLbl>
            <c:dLbl>
              <c:idx val="4"/>
              <c:tx>
                <c:rich>
                  <a:bodyPr/>
                  <a:lstStyle/>
                  <a:p>
                    <a:r>
                      <a:rPr lang="ru-RU"/>
                      <a:t>Россия</a:t>
                    </a:r>
                    <a:endParaRPr lang="en-US"/>
                  </a:p>
                </c:rich>
              </c:tx>
              <c:showLegendKey val="0"/>
              <c:showVal val="1"/>
              <c:showCatName val="0"/>
              <c:showSerName val="0"/>
              <c:showPercent val="0"/>
              <c:showBubbleSize val="0"/>
            </c:dLbl>
            <c:dLbl>
              <c:idx val="5"/>
              <c:tx>
                <c:rich>
                  <a:bodyPr/>
                  <a:lstStyle/>
                  <a:p>
                    <a:r>
                      <a:rPr lang="ru-RU"/>
                      <a:t>Иран</a:t>
                    </a:r>
                    <a:endParaRPr lang="en-US"/>
                  </a:p>
                </c:rich>
              </c:tx>
              <c:showLegendKey val="0"/>
              <c:showVal val="1"/>
              <c:showCatName val="0"/>
              <c:showSerName val="0"/>
              <c:showPercent val="0"/>
              <c:showBubbleSize val="0"/>
            </c:dLbl>
            <c:dLbl>
              <c:idx val="6"/>
              <c:layout>
                <c:manualLayout>
                  <c:x val="-1.01065790487275E-2"/>
                  <c:y val="4.97415843561878E-2"/>
                </c:manualLayout>
              </c:layout>
              <c:tx>
                <c:rich>
                  <a:bodyPr/>
                  <a:lstStyle/>
                  <a:p>
                    <a:r>
                      <a:rPr lang="ru-RU"/>
                      <a:t>США</a:t>
                    </a:r>
                    <a:endParaRPr lang="en-US"/>
                  </a:p>
                </c:rich>
              </c:tx>
              <c:showLegendKey val="0"/>
              <c:showVal val="1"/>
              <c:showCatName val="0"/>
              <c:showSerName val="0"/>
              <c:showPercent val="0"/>
              <c:showBubbleSize val="0"/>
            </c:dLbl>
            <c:dLbl>
              <c:idx val="7"/>
              <c:tx>
                <c:rich>
                  <a:bodyPr/>
                  <a:lstStyle/>
                  <a:p>
                    <a:r>
                      <a:rPr lang="ru-RU"/>
                      <a:t>Норвегия</a:t>
                    </a:r>
                    <a:endParaRPr lang="en-US"/>
                  </a:p>
                </c:rich>
              </c:tx>
              <c:showLegendKey val="0"/>
              <c:showVal val="1"/>
              <c:showCatName val="0"/>
              <c:showSerName val="0"/>
              <c:showPercent val="0"/>
              <c:showBubbleSize val="0"/>
            </c:dLbl>
            <c:dLbl>
              <c:idx val="8"/>
              <c:tx>
                <c:rich>
                  <a:bodyPr/>
                  <a:lstStyle/>
                  <a:p>
                    <a:r>
                      <a:rPr lang="ru-RU"/>
                      <a:t>Великобритания</a:t>
                    </a:r>
                    <a:endParaRPr lang="en-US"/>
                  </a:p>
                </c:rich>
              </c:tx>
              <c:showLegendKey val="0"/>
              <c:showVal val="1"/>
              <c:showCatName val="0"/>
              <c:showSerName val="0"/>
              <c:showPercent val="0"/>
              <c:showBubbleSize val="0"/>
            </c:dLbl>
            <c:dLbl>
              <c:idx val="9"/>
              <c:tx>
                <c:rich>
                  <a:bodyPr/>
                  <a:lstStyle/>
                  <a:p>
                    <a:r>
                      <a:rPr lang="ru-RU"/>
                      <a:t>Нигерия</a:t>
                    </a:r>
                    <a:endParaRPr lang="en-US"/>
                  </a:p>
                </c:rich>
              </c:tx>
              <c:showLegendKey val="0"/>
              <c:showVal val="1"/>
              <c:showCatName val="0"/>
              <c:showSerName val="0"/>
              <c:showPercent val="0"/>
              <c:showBubbleSize val="0"/>
            </c:dLbl>
            <c:dLbl>
              <c:idx val="10"/>
              <c:tx>
                <c:rich>
                  <a:bodyPr/>
                  <a:lstStyle/>
                  <a:p>
                    <a:r>
                      <a:rPr lang="ru-RU"/>
                      <a:t>Казахстан</a:t>
                    </a:r>
                    <a:endParaRPr lang="en-US"/>
                  </a:p>
                </c:rich>
              </c:tx>
              <c:showLegendKey val="0"/>
              <c:showVal val="1"/>
              <c:showCatName val="0"/>
              <c:showSerName val="0"/>
              <c:showPercent val="0"/>
              <c:showBubbleSize val="0"/>
            </c:dLbl>
            <c:dLbl>
              <c:idx val="12"/>
              <c:tx>
                <c:rich>
                  <a:bodyPr/>
                  <a:lstStyle/>
                  <a:p>
                    <a:r>
                      <a:rPr lang="ru-RU"/>
                      <a:t>Канада</a:t>
                    </a:r>
                    <a:endParaRPr lang="en-US"/>
                  </a:p>
                </c:rich>
              </c:tx>
              <c:showLegendKey val="0"/>
              <c:showVal val="1"/>
              <c:showCatName val="0"/>
              <c:showSerName val="0"/>
              <c:showPercent val="0"/>
              <c:showBubbleSize val="0"/>
            </c:dLbl>
            <c:dLbl>
              <c:idx val="13"/>
              <c:tx>
                <c:rich>
                  <a:bodyPr/>
                  <a:lstStyle/>
                  <a:p>
                    <a:r>
                      <a:rPr lang="ru-RU"/>
                      <a:t>ОАЭ</a:t>
                    </a:r>
                    <a:endParaRPr lang="en-US"/>
                  </a:p>
                </c:rich>
              </c:tx>
              <c:showLegendKey val="0"/>
              <c:showVal val="1"/>
              <c:showCatName val="0"/>
              <c:showSerName val="0"/>
              <c:showPercent val="0"/>
              <c:showBubbleSize val="0"/>
            </c:dLbl>
            <c:dLbl>
              <c:idx val="14"/>
              <c:delete val="1"/>
            </c:dLbl>
            <c:dLbl>
              <c:idx val="15"/>
              <c:layout>
                <c:manualLayout>
                  <c:x val="-0.11723631696523799"/>
                  <c:y val="-3.5529703111562699E-2"/>
                </c:manualLayout>
              </c:layout>
              <c:tx>
                <c:rich>
                  <a:bodyPr/>
                  <a:lstStyle/>
                  <a:p>
                    <a:r>
                      <a:rPr lang="ru-RU"/>
                      <a:t>Кувейт</a:t>
                    </a:r>
                    <a:endParaRPr lang="en-US"/>
                  </a:p>
                </c:rich>
              </c:tx>
              <c:showLegendKey val="0"/>
              <c:showVal val="1"/>
              <c:showCatName val="0"/>
              <c:showSerName val="0"/>
              <c:showPercent val="0"/>
              <c:showBubbleSize val="0"/>
            </c:dLbl>
            <c:dLbl>
              <c:idx val="16"/>
              <c:layout>
                <c:manualLayout>
                  <c:x val="-5.9821716762405899E-2"/>
                  <c:y val="-8.1502900846390294E-2"/>
                </c:manualLayout>
              </c:layout>
              <c:tx>
                <c:rich>
                  <a:bodyPr/>
                  <a:lstStyle/>
                  <a:p>
                    <a:r>
                      <a:rPr lang="ru-RU"/>
                      <a:t>Катар</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xVal>
            <c:numRef>
              <c:f>Лист2!$Q$6:$Q$22</c:f>
              <c:numCache>
                <c:formatCode>General</c:formatCode>
                <c:ptCount val="17"/>
                <c:pt idx="0">
                  <c:v>69</c:v>
                </c:pt>
                <c:pt idx="1">
                  <c:v>65.5</c:v>
                </c:pt>
                <c:pt idx="2">
                  <c:v>64.599999999999994</c:v>
                </c:pt>
                <c:pt idx="3">
                  <c:v>51.8</c:v>
                </c:pt>
                <c:pt idx="4">
                  <c:v>48.9</c:v>
                </c:pt>
                <c:pt idx="5">
                  <c:v>44.1</c:v>
                </c:pt>
                <c:pt idx="6">
                  <c:v>43.8</c:v>
                </c:pt>
                <c:pt idx="7">
                  <c:v>40.700000000000003</c:v>
                </c:pt>
                <c:pt idx="8">
                  <c:v>33.700000000000003</c:v>
                </c:pt>
                <c:pt idx="9">
                  <c:v>32.700000000000003</c:v>
                </c:pt>
                <c:pt idx="10">
                  <c:v>28.6</c:v>
                </c:pt>
                <c:pt idx="11">
                  <c:v>27.8</c:v>
                </c:pt>
                <c:pt idx="12">
                  <c:v>21</c:v>
                </c:pt>
                <c:pt idx="13">
                  <c:v>14.8</c:v>
                </c:pt>
                <c:pt idx="14">
                  <c:v>14.5</c:v>
                </c:pt>
                <c:pt idx="15">
                  <c:v>12.8</c:v>
                </c:pt>
                <c:pt idx="16">
                  <c:v>11.3</c:v>
                </c:pt>
              </c:numCache>
            </c:numRef>
          </c:xVal>
          <c:yVal>
            <c:numRef>
              <c:f>Лист2!$R$6:$R$22</c:f>
              <c:numCache>
                <c:formatCode>General</c:formatCode>
                <c:ptCount val="17"/>
                <c:pt idx="0">
                  <c:v>35.299999999999997</c:v>
                </c:pt>
                <c:pt idx="1">
                  <c:v>13.6</c:v>
                </c:pt>
                <c:pt idx="2">
                  <c:v>19.399999999999999</c:v>
                </c:pt>
                <c:pt idx="3">
                  <c:v>10</c:v>
                </c:pt>
                <c:pt idx="4">
                  <c:v>28.7</c:v>
                </c:pt>
                <c:pt idx="5">
                  <c:v>5.9</c:v>
                </c:pt>
                <c:pt idx="6">
                  <c:v>24.3</c:v>
                </c:pt>
                <c:pt idx="7">
                  <c:v>42.2</c:v>
                </c:pt>
                <c:pt idx="8">
                  <c:v>35.200000000000003</c:v>
                </c:pt>
                <c:pt idx="9">
                  <c:v>3</c:v>
                </c:pt>
                <c:pt idx="10">
                  <c:v>13.5</c:v>
                </c:pt>
                <c:pt idx="12">
                  <c:v>30.7</c:v>
                </c:pt>
                <c:pt idx="13">
                  <c:v>7.2</c:v>
                </c:pt>
                <c:pt idx="14">
                  <c:v>3.7</c:v>
                </c:pt>
                <c:pt idx="15">
                  <c:v>0.70000000000000095</c:v>
                </c:pt>
                <c:pt idx="16">
                  <c:v>5.0999999999999996</c:v>
                </c:pt>
              </c:numCache>
            </c:numRef>
          </c:yVal>
          <c:smooth val="0"/>
        </c:ser>
        <c:dLbls>
          <c:showLegendKey val="0"/>
          <c:showVal val="0"/>
          <c:showCatName val="0"/>
          <c:showSerName val="0"/>
          <c:showPercent val="0"/>
          <c:showBubbleSize val="0"/>
        </c:dLbls>
        <c:axId val="30365184"/>
        <c:axId val="30366720"/>
      </c:scatterChart>
      <c:valAx>
        <c:axId val="30365184"/>
        <c:scaling>
          <c:orientation val="minMax"/>
        </c:scaling>
        <c:delete val="0"/>
        <c:axPos val="b"/>
        <c:numFmt formatCode="General" sourceLinked="1"/>
        <c:majorTickMark val="out"/>
        <c:minorTickMark val="none"/>
        <c:tickLblPos val="nextTo"/>
        <c:crossAx val="30366720"/>
        <c:crosses val="autoZero"/>
        <c:crossBetween val="midCat"/>
      </c:valAx>
      <c:valAx>
        <c:axId val="30366720"/>
        <c:scaling>
          <c:orientation val="minMax"/>
        </c:scaling>
        <c:delete val="0"/>
        <c:axPos val="l"/>
        <c:numFmt formatCode="General" sourceLinked="1"/>
        <c:majorTickMark val="out"/>
        <c:minorTickMark val="none"/>
        <c:tickLblPos val="nextTo"/>
        <c:crossAx val="30365184"/>
        <c:crosses val="autoZero"/>
        <c:crossBetween val="midCat"/>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63269852493201"/>
          <c:y val="3.6923947682736699E-2"/>
          <c:w val="0.830116778444008"/>
          <c:h val="0.81149834465876802"/>
        </c:manualLayout>
      </c:layout>
      <c:lineChart>
        <c:grouping val="standard"/>
        <c:varyColors val="0"/>
        <c:ser>
          <c:idx val="1"/>
          <c:order val="0"/>
          <c:marker>
            <c:symbol val="none"/>
          </c:marker>
          <c:cat>
            <c:numRef>
              <c:f>Лист3!$A$3:$A$38</c:f>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formatCode="dd/mm/yyyy">
                  <c:v>42269</c:v>
                </c:pt>
              </c:numCache>
            </c:numRef>
          </c:cat>
          <c:val>
            <c:numRef>
              <c:f>Лист3!$B$3:$B$38</c:f>
              <c:numCache>
                <c:formatCode>General</c:formatCode>
                <c:ptCount val="36"/>
                <c:pt idx="0">
                  <c:v>36.83</c:v>
                </c:pt>
                <c:pt idx="1">
                  <c:v>35.93</c:v>
                </c:pt>
                <c:pt idx="2">
                  <c:v>32.97</c:v>
                </c:pt>
                <c:pt idx="3">
                  <c:v>29.55</c:v>
                </c:pt>
                <c:pt idx="4">
                  <c:v>28.77999999999999</c:v>
                </c:pt>
                <c:pt idx="5">
                  <c:v>27.56</c:v>
                </c:pt>
                <c:pt idx="6">
                  <c:v>14.43</c:v>
                </c:pt>
                <c:pt idx="7">
                  <c:v>18.43503939999998</c:v>
                </c:pt>
                <c:pt idx="8">
                  <c:v>14.923841700000001</c:v>
                </c:pt>
                <c:pt idx="9">
                  <c:v>18.226113300000002</c:v>
                </c:pt>
                <c:pt idx="10">
                  <c:v>23.725820299999981</c:v>
                </c:pt>
                <c:pt idx="11">
                  <c:v>20.0033852</c:v>
                </c:pt>
                <c:pt idx="12">
                  <c:v>19.3208366</c:v>
                </c:pt>
                <c:pt idx="13">
                  <c:v>16.97163419999999</c:v>
                </c:pt>
                <c:pt idx="14">
                  <c:v>15.817315199999999</c:v>
                </c:pt>
                <c:pt idx="15">
                  <c:v>17.016679700000001</c:v>
                </c:pt>
                <c:pt idx="16">
                  <c:v>20.668488400000001</c:v>
                </c:pt>
                <c:pt idx="17">
                  <c:v>19.09258749999999</c:v>
                </c:pt>
                <c:pt idx="18">
                  <c:v>12.7156615</c:v>
                </c:pt>
                <c:pt idx="19">
                  <c:v>17.970077799999999</c:v>
                </c:pt>
                <c:pt idx="20">
                  <c:v>28.495449199999971</c:v>
                </c:pt>
                <c:pt idx="21">
                  <c:v>24.443891099999991</c:v>
                </c:pt>
                <c:pt idx="22">
                  <c:v>25.023255800000001</c:v>
                </c:pt>
                <c:pt idx="23">
                  <c:v>28.830703100000001</c:v>
                </c:pt>
                <c:pt idx="24">
                  <c:v>38.265000000000022</c:v>
                </c:pt>
                <c:pt idx="25">
                  <c:v>54.521089500000002</c:v>
                </c:pt>
                <c:pt idx="26">
                  <c:v>65.144062500000004</c:v>
                </c:pt>
                <c:pt idx="27">
                  <c:v>72.389078399999917</c:v>
                </c:pt>
                <c:pt idx="28">
                  <c:v>97.255972799999896</c:v>
                </c:pt>
                <c:pt idx="29">
                  <c:v>61.671264800000003</c:v>
                </c:pt>
                <c:pt idx="30">
                  <c:v>79.495533600000044</c:v>
                </c:pt>
                <c:pt idx="31">
                  <c:v>111.25559800000001</c:v>
                </c:pt>
                <c:pt idx="32">
                  <c:v>111.6697023809522</c:v>
                </c:pt>
                <c:pt idx="33">
                  <c:v>108.65851778656121</c:v>
                </c:pt>
                <c:pt idx="34">
                  <c:v>98.946007905138345</c:v>
                </c:pt>
                <c:pt idx="35">
                  <c:v>49.08</c:v>
                </c:pt>
              </c:numCache>
            </c:numRef>
          </c:val>
          <c:smooth val="0"/>
        </c:ser>
        <c:dLbls>
          <c:showLegendKey val="0"/>
          <c:showVal val="0"/>
          <c:showCatName val="0"/>
          <c:showSerName val="0"/>
          <c:showPercent val="0"/>
          <c:showBubbleSize val="0"/>
        </c:dLbls>
        <c:marker val="1"/>
        <c:smooth val="0"/>
        <c:axId val="151419904"/>
        <c:axId val="151446272"/>
      </c:lineChart>
      <c:catAx>
        <c:axId val="151419904"/>
        <c:scaling>
          <c:orientation val="minMax"/>
        </c:scaling>
        <c:delete val="0"/>
        <c:axPos val="b"/>
        <c:numFmt formatCode="General" sourceLinked="1"/>
        <c:majorTickMark val="out"/>
        <c:minorTickMark val="none"/>
        <c:tickLblPos val="nextTo"/>
        <c:crossAx val="151446272"/>
        <c:crosses val="autoZero"/>
        <c:auto val="1"/>
        <c:lblAlgn val="ctr"/>
        <c:lblOffset val="100"/>
        <c:tickLblSkip val="6"/>
        <c:noMultiLvlLbl val="0"/>
      </c:catAx>
      <c:valAx>
        <c:axId val="151446272"/>
        <c:scaling>
          <c:orientation val="minMax"/>
        </c:scaling>
        <c:delete val="0"/>
        <c:axPos val="l"/>
        <c:numFmt formatCode="General" sourceLinked="1"/>
        <c:majorTickMark val="out"/>
        <c:minorTickMark val="none"/>
        <c:tickLblPos val="nextTo"/>
        <c:crossAx val="15141990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2192802790131"/>
          <c:y val="2.30114947110624E-2"/>
          <c:w val="0.47311185435804098"/>
          <c:h val="0.924581596833012"/>
        </c:manualLayout>
      </c:layout>
      <c:barChart>
        <c:barDir val="bar"/>
        <c:grouping val="clustered"/>
        <c:varyColors val="0"/>
        <c:ser>
          <c:idx val="0"/>
          <c:order val="0"/>
          <c:tx>
            <c:strRef>
              <c:f>Оборот!$O$2</c:f>
              <c:strCache>
                <c:ptCount val="1"/>
                <c:pt idx="0">
                  <c:v>2005</c:v>
                </c:pt>
              </c:strCache>
            </c:strRef>
          </c:tx>
          <c:spPr>
            <a:solidFill>
              <a:schemeClr val="accent1">
                <a:lumMod val="20000"/>
                <a:lumOff val="80000"/>
              </a:schemeClr>
            </a:solidFill>
          </c:spPr>
          <c:invertIfNegative val="0"/>
          <c:cat>
            <c:strRef>
              <c:f>Оборот!$M$3:$M$50</c:f>
              <c:strCache>
                <c:ptCount val="14"/>
                <c:pt idx="0">
                  <c:v> Сельское хозяйство, охота и предоставление услуг </c:v>
                </c:pt>
                <c:pt idx="1">
                  <c:v> Лесное хозяйство, лесозаготовки и оказание услуг </c:v>
                </c:pt>
                <c:pt idx="2">
                  <c:v> Добыча полезных ископаемых </c:v>
                </c:pt>
                <c:pt idx="3">
                  <c:v> Обрабатывающие производства </c:v>
                </c:pt>
                <c:pt idx="4">
                  <c:v> Производство пищевых продуктов, включая напитки </c:v>
                </c:pt>
                <c:pt idx="5">
                  <c:v> Производство кокса, нефтепродуктов и ядерных материалов </c:v>
                </c:pt>
                <c:pt idx="6">
                  <c:v> Обработка древесины и производство изделий из дерева и пробки, кроме мебели </c:v>
                </c:pt>
                <c:pt idx="7">
                  <c:v> Химическое производство </c:v>
                </c:pt>
                <c:pt idx="8">
                  <c:v> Производство прочих неметаллических минеральных продуктов </c:v>
                </c:pt>
                <c:pt idx="9">
                  <c:v> Производство и распределение электроэнергии, газа и воды </c:v>
                </c:pt>
                <c:pt idx="10">
                  <c:v> Строительство </c:v>
                </c:pt>
                <c:pt idx="11">
                  <c:v> Транспорт и связь </c:v>
                </c:pt>
                <c:pt idx="12">
                  <c:v> Оптовая и розничная торговля, ремонт автотранспортных средств и пр. </c:v>
                </c:pt>
                <c:pt idx="13">
                  <c:v> Операции с недвижимым имуществом, аренда и предоставление услуг </c:v>
                </c:pt>
              </c:strCache>
            </c:strRef>
          </c:cat>
          <c:val>
            <c:numRef>
              <c:f>Оборот!$O$3:$O$39</c:f>
              <c:numCache>
                <c:formatCode>_(* #,##0.00_);_(* \(#,##0.00\);_(* "-"??_);_(@_)</c:formatCode>
                <c:ptCount val="12"/>
                <c:pt idx="0">
                  <c:v>5.9286741631242572</c:v>
                </c:pt>
                <c:pt idx="1">
                  <c:v>13.42804598706698</c:v>
                </c:pt>
                <c:pt idx="2">
                  <c:v>35.538303086987661</c:v>
                </c:pt>
                <c:pt idx="3">
                  <c:v>9.2981093563721409</c:v>
                </c:pt>
                <c:pt idx="4">
                  <c:v>14.640850729764139</c:v>
                </c:pt>
                <c:pt idx="5">
                  <c:v>3.664156418715824</c:v>
                </c:pt>
                <c:pt idx="6">
                  <c:v>5.4558062435155836</c:v>
                </c:pt>
                <c:pt idx="7">
                  <c:v>6.0043540882755426</c:v>
                </c:pt>
                <c:pt idx="8">
                  <c:v>14.91654263972838</c:v>
                </c:pt>
                <c:pt idx="9">
                  <c:v>10.16506926968971</c:v>
                </c:pt>
                <c:pt idx="10">
                  <c:v>26.18963257729466</c:v>
                </c:pt>
                <c:pt idx="11">
                  <c:v>14.038314004752239</c:v>
                </c:pt>
              </c:numCache>
            </c:numRef>
          </c:val>
        </c:ser>
        <c:ser>
          <c:idx val="1"/>
          <c:order val="1"/>
          <c:tx>
            <c:strRef>
              <c:f>Оборот!$P$2</c:f>
              <c:strCache>
                <c:ptCount val="1"/>
                <c:pt idx="0">
                  <c:v>2014</c:v>
                </c:pt>
              </c:strCache>
            </c:strRef>
          </c:tx>
          <c:spPr>
            <a:solidFill>
              <a:srgbClr val="002060"/>
            </a:solidFill>
          </c:spPr>
          <c:invertIfNegative val="0"/>
          <c:cat>
            <c:strRef>
              <c:f>Оборот!$M$3:$M$50</c:f>
              <c:strCache>
                <c:ptCount val="14"/>
                <c:pt idx="0">
                  <c:v> Сельское хозяйство, охота и предоставление услуг </c:v>
                </c:pt>
                <c:pt idx="1">
                  <c:v> Лесное хозяйство, лесозаготовки и оказание услуг </c:v>
                </c:pt>
                <c:pt idx="2">
                  <c:v> Добыча полезных ископаемых </c:v>
                </c:pt>
                <c:pt idx="3">
                  <c:v> Обрабатывающие производства </c:v>
                </c:pt>
                <c:pt idx="4">
                  <c:v> Производство пищевых продуктов, включая напитки </c:v>
                </c:pt>
                <c:pt idx="5">
                  <c:v> Производство кокса, нефтепродуктов и ядерных материалов </c:v>
                </c:pt>
                <c:pt idx="6">
                  <c:v> Обработка древесины и производство изделий из дерева и пробки, кроме мебели </c:v>
                </c:pt>
                <c:pt idx="7">
                  <c:v> Химическое производство </c:v>
                </c:pt>
                <c:pt idx="8">
                  <c:v> Производство прочих неметаллических минеральных продуктов </c:v>
                </c:pt>
                <c:pt idx="9">
                  <c:v> Производство и распределение электроэнергии, газа и воды </c:v>
                </c:pt>
                <c:pt idx="10">
                  <c:v> Строительство </c:v>
                </c:pt>
                <c:pt idx="11">
                  <c:v> Транспорт и связь </c:v>
                </c:pt>
                <c:pt idx="12">
                  <c:v> Оптовая и розничная торговля, ремонт автотранспортных средств и пр. </c:v>
                </c:pt>
                <c:pt idx="13">
                  <c:v> Операции с недвижимым имуществом, аренда и предоставление услуг </c:v>
                </c:pt>
              </c:strCache>
            </c:strRef>
          </c:cat>
          <c:val>
            <c:numRef>
              <c:f>Оборот!$P$3:$P$39</c:f>
              <c:numCache>
                <c:formatCode>_(* #,##0.00_);_(* \(#,##0.00\);_(* "-"??_);_(@_)</c:formatCode>
                <c:ptCount val="12"/>
                <c:pt idx="0">
                  <c:v>3.9672509795107569</c:v>
                </c:pt>
                <c:pt idx="1">
                  <c:v>12.16409100548295</c:v>
                </c:pt>
                <c:pt idx="2">
                  <c:v>28.876124506937821</c:v>
                </c:pt>
                <c:pt idx="3">
                  <c:v>6.7360483087078373</c:v>
                </c:pt>
                <c:pt idx="4">
                  <c:v>12.96332744510809</c:v>
                </c:pt>
                <c:pt idx="5">
                  <c:v>3.5466884912848209</c:v>
                </c:pt>
                <c:pt idx="6">
                  <c:v>5.0618385293470372</c:v>
                </c:pt>
                <c:pt idx="7">
                  <c:v>3.4484303716714222</c:v>
                </c:pt>
                <c:pt idx="8">
                  <c:v>9.5220598598406454</c:v>
                </c:pt>
                <c:pt idx="9">
                  <c:v>5.0134735224823928</c:v>
                </c:pt>
                <c:pt idx="10">
                  <c:v>22.406316528006421</c:v>
                </c:pt>
                <c:pt idx="11">
                  <c:v>8.4068776824837688</c:v>
                </c:pt>
              </c:numCache>
            </c:numRef>
          </c:val>
        </c:ser>
        <c:dLbls>
          <c:showLegendKey val="0"/>
          <c:showVal val="0"/>
          <c:showCatName val="0"/>
          <c:showSerName val="0"/>
          <c:showPercent val="0"/>
          <c:showBubbleSize val="0"/>
        </c:dLbls>
        <c:gapWidth val="150"/>
        <c:axId val="149963904"/>
        <c:axId val="149965440"/>
      </c:barChart>
      <c:catAx>
        <c:axId val="149963904"/>
        <c:scaling>
          <c:orientation val="minMax"/>
        </c:scaling>
        <c:delete val="0"/>
        <c:axPos val="l"/>
        <c:majorTickMark val="out"/>
        <c:minorTickMark val="none"/>
        <c:tickLblPos val="nextTo"/>
        <c:crossAx val="149965440"/>
        <c:crosses val="autoZero"/>
        <c:auto val="1"/>
        <c:lblAlgn val="ctr"/>
        <c:lblOffset val="100"/>
        <c:tickLblSkip val="1"/>
        <c:noMultiLvlLbl val="0"/>
      </c:catAx>
      <c:valAx>
        <c:axId val="149965440"/>
        <c:scaling>
          <c:orientation val="minMax"/>
        </c:scaling>
        <c:delete val="0"/>
        <c:axPos val="b"/>
        <c:numFmt formatCode="#,##0" sourceLinked="0"/>
        <c:majorTickMark val="out"/>
        <c:minorTickMark val="none"/>
        <c:tickLblPos val="nextTo"/>
        <c:crossAx val="149963904"/>
        <c:crossesAt val="1"/>
        <c:crossBetween val="between"/>
      </c:valAx>
    </c:plotArea>
    <c:legend>
      <c:legendPos val="r"/>
      <c:layout>
        <c:manualLayout>
          <c:xMode val="edge"/>
          <c:yMode val="edge"/>
          <c:x val="0.69874592271551705"/>
          <c:y val="0.88813841468061405"/>
          <c:w val="0.19924203059586301"/>
          <c:h val="5.2525857130989298E-2"/>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820437747719094E-2"/>
          <c:y val="1.7547725723352801E-2"/>
          <c:w val="0.76980615649275697"/>
          <c:h val="0.93870944432978398"/>
        </c:manualLayout>
      </c:layout>
      <c:barChart>
        <c:barDir val="bar"/>
        <c:grouping val="clustered"/>
        <c:varyColors val="0"/>
        <c:ser>
          <c:idx val="0"/>
          <c:order val="0"/>
          <c:tx>
            <c:strRef>
              <c:f>Оборот!$O$2</c:f>
              <c:strCache>
                <c:ptCount val="1"/>
                <c:pt idx="0">
                  <c:v>2005</c:v>
                </c:pt>
              </c:strCache>
            </c:strRef>
          </c:tx>
          <c:spPr>
            <a:solidFill>
              <a:schemeClr val="accent1">
                <a:lumMod val="20000"/>
                <a:lumOff val="80000"/>
              </a:schemeClr>
            </a:solidFill>
          </c:spPr>
          <c:invertIfNegative val="0"/>
          <c:cat>
            <c:strRef>
              <c:f>Оборот!$M$3:$M$50</c:f>
              <c:strCache>
                <c:ptCount val="14"/>
                <c:pt idx="0">
                  <c:v> Сельское хозяйство, охота и предоставление услуг </c:v>
                </c:pt>
                <c:pt idx="1">
                  <c:v> Лесное хозяйство, лесозаготовки и оказание услуг </c:v>
                </c:pt>
                <c:pt idx="2">
                  <c:v> Добыча полезных ископаемых </c:v>
                </c:pt>
                <c:pt idx="3">
                  <c:v> Обрабатывающие производства </c:v>
                </c:pt>
                <c:pt idx="4">
                  <c:v> Производство пищевых продуктов, включая напитки </c:v>
                </c:pt>
                <c:pt idx="5">
                  <c:v> Производство кокса, нефтепродуктов и ядерных материалов </c:v>
                </c:pt>
                <c:pt idx="6">
                  <c:v> Обработка древесины и производство изделий из дерева и пробки, кроме мебели </c:v>
                </c:pt>
                <c:pt idx="7">
                  <c:v> Химическое производство </c:v>
                </c:pt>
                <c:pt idx="8">
                  <c:v> Производство прочих неметаллических минеральных продуктов </c:v>
                </c:pt>
                <c:pt idx="9">
                  <c:v> Производство и распределение электроэнергии, газа и воды </c:v>
                </c:pt>
                <c:pt idx="10">
                  <c:v> Строительство </c:v>
                </c:pt>
                <c:pt idx="11">
                  <c:v> Транспорт и связь </c:v>
                </c:pt>
                <c:pt idx="12">
                  <c:v> Оптовая и розничная торговля, ремонт автотранспортных средств и пр. </c:v>
                </c:pt>
                <c:pt idx="13">
                  <c:v> Операции с недвижимым имуществом, аренда и предоставление услуг </c:v>
                </c:pt>
              </c:strCache>
            </c:strRef>
          </c:cat>
          <c:val>
            <c:numRef>
              <c:f>Оборот!$H$3:$H$39</c:f>
              <c:numCache>
                <c:formatCode>_(* #,##0.00_);_(* \(#,##0.00\);_(* "-"??_);_(@_)</c:formatCode>
                <c:ptCount val="12"/>
                <c:pt idx="0">
                  <c:v>26009820</c:v>
                </c:pt>
                <c:pt idx="1">
                  <c:v>8987362</c:v>
                </c:pt>
                <c:pt idx="2">
                  <c:v>1631737037</c:v>
                </c:pt>
                <c:pt idx="3">
                  <c:v>790401636</c:v>
                </c:pt>
                <c:pt idx="4">
                  <c:v>174328886</c:v>
                </c:pt>
                <c:pt idx="5">
                  <c:v>77567538</c:v>
                </c:pt>
                <c:pt idx="6">
                  <c:v>5819929</c:v>
                </c:pt>
                <c:pt idx="7">
                  <c:v>31060247</c:v>
                </c:pt>
                <c:pt idx="8">
                  <c:v>49202143</c:v>
                </c:pt>
                <c:pt idx="9">
                  <c:v>177543918</c:v>
                </c:pt>
                <c:pt idx="10">
                  <c:v>247247166</c:v>
                </c:pt>
                <c:pt idx="11">
                  <c:v>431811240</c:v>
                </c:pt>
              </c:numCache>
            </c:numRef>
          </c:val>
        </c:ser>
        <c:ser>
          <c:idx val="1"/>
          <c:order val="1"/>
          <c:tx>
            <c:strRef>
              <c:f>Оборот!$P$2</c:f>
              <c:strCache>
                <c:ptCount val="1"/>
                <c:pt idx="0">
                  <c:v>2014</c:v>
                </c:pt>
              </c:strCache>
            </c:strRef>
          </c:tx>
          <c:spPr>
            <a:solidFill>
              <a:srgbClr val="002060"/>
            </a:solidFill>
          </c:spPr>
          <c:invertIfNegative val="0"/>
          <c:cat>
            <c:strRef>
              <c:f>Оборот!$M$3:$M$50</c:f>
              <c:strCache>
                <c:ptCount val="14"/>
                <c:pt idx="0">
                  <c:v> Сельское хозяйство, охота и предоставление услуг </c:v>
                </c:pt>
                <c:pt idx="1">
                  <c:v> Лесное хозяйство, лесозаготовки и оказание услуг </c:v>
                </c:pt>
                <c:pt idx="2">
                  <c:v> Добыча полезных ископаемых </c:v>
                </c:pt>
                <c:pt idx="3">
                  <c:v> Обрабатывающие производства </c:v>
                </c:pt>
                <c:pt idx="4">
                  <c:v> Производство пищевых продуктов, включая напитки </c:v>
                </c:pt>
                <c:pt idx="5">
                  <c:v> Производство кокса, нефтепродуктов и ядерных материалов </c:v>
                </c:pt>
                <c:pt idx="6">
                  <c:v> Обработка древесины и производство изделий из дерева и пробки, кроме мебели </c:v>
                </c:pt>
                <c:pt idx="7">
                  <c:v> Химическое производство </c:v>
                </c:pt>
                <c:pt idx="8">
                  <c:v> Производство прочих неметаллических минеральных продуктов </c:v>
                </c:pt>
                <c:pt idx="9">
                  <c:v> Производство и распределение электроэнергии, газа и воды </c:v>
                </c:pt>
                <c:pt idx="10">
                  <c:v> Строительство </c:v>
                </c:pt>
                <c:pt idx="11">
                  <c:v> Транспорт и связь </c:v>
                </c:pt>
                <c:pt idx="12">
                  <c:v> Оптовая и розничная торговля, ремонт автотранспортных средств и пр. </c:v>
                </c:pt>
                <c:pt idx="13">
                  <c:v> Операции с недвижимым имуществом, аренда и предоставление услуг </c:v>
                </c:pt>
              </c:strCache>
            </c:strRef>
          </c:cat>
          <c:val>
            <c:numRef>
              <c:f>Оборот!$I$3:$I$39</c:f>
              <c:numCache>
                <c:formatCode>_(* #,##0.00_);_(* \(#,##0.00\);_(* "-"??_);_(@_)</c:formatCode>
                <c:ptCount val="12"/>
                <c:pt idx="0">
                  <c:v>54326596</c:v>
                </c:pt>
                <c:pt idx="1">
                  <c:v>10882047</c:v>
                </c:pt>
                <c:pt idx="2">
                  <c:v>3713992368</c:v>
                </c:pt>
                <c:pt idx="3">
                  <c:v>1896127159</c:v>
                </c:pt>
                <c:pt idx="4">
                  <c:v>512662376</c:v>
                </c:pt>
                <c:pt idx="5">
                  <c:v>322523704</c:v>
                </c:pt>
                <c:pt idx="6">
                  <c:v>14591857</c:v>
                </c:pt>
                <c:pt idx="7">
                  <c:v>65949085</c:v>
                </c:pt>
                <c:pt idx="8">
                  <c:v>102340053</c:v>
                </c:pt>
                <c:pt idx="9">
                  <c:v>368441013</c:v>
                </c:pt>
                <c:pt idx="10">
                  <c:v>607079526</c:v>
                </c:pt>
                <c:pt idx="11">
                  <c:v>783621416</c:v>
                </c:pt>
              </c:numCache>
            </c:numRef>
          </c:val>
        </c:ser>
        <c:dLbls>
          <c:showLegendKey val="0"/>
          <c:showVal val="0"/>
          <c:showCatName val="0"/>
          <c:showSerName val="0"/>
          <c:showPercent val="0"/>
          <c:showBubbleSize val="0"/>
        </c:dLbls>
        <c:gapWidth val="150"/>
        <c:axId val="149978112"/>
        <c:axId val="134087424"/>
      </c:barChart>
      <c:catAx>
        <c:axId val="149978112"/>
        <c:scaling>
          <c:orientation val="minMax"/>
        </c:scaling>
        <c:delete val="1"/>
        <c:axPos val="l"/>
        <c:majorTickMark val="out"/>
        <c:minorTickMark val="none"/>
        <c:tickLblPos val="none"/>
        <c:crossAx val="134087424"/>
        <c:crosses val="autoZero"/>
        <c:auto val="1"/>
        <c:lblAlgn val="ctr"/>
        <c:lblOffset val="100"/>
        <c:noMultiLvlLbl val="0"/>
      </c:catAx>
      <c:valAx>
        <c:axId val="134087424"/>
        <c:scaling>
          <c:orientation val="minMax"/>
        </c:scaling>
        <c:delete val="0"/>
        <c:axPos val="b"/>
        <c:numFmt formatCode="#,##0" sourceLinked="0"/>
        <c:majorTickMark val="out"/>
        <c:minorTickMark val="none"/>
        <c:tickLblPos val="nextTo"/>
        <c:crossAx val="14997811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2168076683668896"/>
          <c:y val="2.8102031993082501E-2"/>
          <c:w val="0.45141705963401402"/>
          <c:h val="0.922067329132497"/>
        </c:manualLayout>
      </c:layout>
      <c:barChart>
        <c:barDir val="bar"/>
        <c:grouping val="clustered"/>
        <c:varyColors val="0"/>
        <c:ser>
          <c:idx val="0"/>
          <c:order val="0"/>
          <c:tx>
            <c:strRef>
              <c:f>'[Диаграмма 3 в Microsoft Office PowerPoint]Себестоимость отдельная'!$G$2</c:f>
              <c:strCache>
                <c:ptCount val="1"/>
                <c:pt idx="0">
                  <c:v>2014</c:v>
                </c:pt>
              </c:strCache>
            </c:strRef>
          </c:tx>
          <c:spPr>
            <a:solidFill>
              <a:srgbClr val="002060"/>
            </a:solidFill>
          </c:spPr>
          <c:invertIfNegative val="0"/>
          <c:cat>
            <c:strRef>
              <c:f>'[Диаграмма 3 в Microsoft Office PowerPoint]Себестоимость отдельная'!$A$3:$A$29</c:f>
              <c:strCache>
                <c:ptCount val="27"/>
                <c:pt idx="0">
                  <c:v>ОАО «Объединенная авиастроительная корпорация»</c:v>
                </c:pt>
                <c:pt idx="1">
                  <c:v>ОАО «АВТОВАЗ»</c:v>
                </c:pt>
                <c:pt idx="2">
                  <c:v>ОАО "КАМАЗ"</c:v>
                </c:pt>
                <c:pt idx="3">
                  <c:v>ОАО «Научно-производственная корпорация «Уралвагонзавод»</c:v>
                </c:pt>
                <c:pt idx="4">
                  <c:v>ОАО «Объединенная судостроительная корпорация»</c:v>
                </c:pt>
                <c:pt idx="5">
                  <c:v>ОАО Акционерная компания АЛРОСА</c:v>
                </c:pt>
                <c:pt idx="6">
                  <c:v>ОАО Газпром нефть </c:v>
                </c:pt>
                <c:pt idx="7">
                  <c:v>ОАО Газпром</c:v>
                </c:pt>
                <c:pt idx="8">
                  <c:v>ОАО Зарубежнефть</c:v>
                </c:pt>
                <c:pt idx="9">
                  <c:v>ОАО Нефтяная компания РОСНЕФТЬ</c:v>
                </c:pt>
                <c:pt idx="10">
                  <c:v>ОАО Акционерная компания Транснефть</c:v>
                </c:pt>
                <c:pt idx="11">
                  <c:v>ОАО Приокский завод цветных металлов</c:v>
                </c:pt>
                <c:pt idx="12">
                  <c:v>ОАО Производственное объединение Кристалл</c:v>
                </c:pt>
                <c:pt idx="13">
                  <c:v>ОАО "Иркутскэнерго"</c:v>
                </c:pt>
                <c:pt idx="14">
                  <c:v>ОАО «Интер РАО ЕЭС»</c:v>
                </c:pt>
                <c:pt idx="15">
                  <c:v>ОАО РАО Энергетические системы Востока</c:v>
                </c:pt>
                <c:pt idx="16">
                  <c:v>ОАО Российские сети</c:v>
                </c:pt>
                <c:pt idx="17">
                  <c:v>ОАО Системный оператор Единой энергетической системы</c:v>
                </c:pt>
                <c:pt idx="18">
                  <c:v>ОАО Федеральная гидрогенерирующая компания РусГидро</c:v>
                </c:pt>
                <c:pt idx="19">
                  <c:v>ОАО Федеральная сетевая компания Единой энергетической системы</c:v>
                </c:pt>
                <c:pt idx="20">
                  <c:v>ПАО Аэропорт Кольцово</c:v>
                </c:pt>
                <c:pt idx="21">
                  <c:v>ОАО Аэрофлот-Российские авиалинии</c:v>
                </c:pt>
                <c:pt idx="22">
                  <c:v>АО «Международный аэропорт Шереметьево»</c:v>
                </c:pt>
                <c:pt idx="23">
                  <c:v>ОАО Новороссийский морской торговый порт</c:v>
                </c:pt>
                <c:pt idx="24">
                  <c:v>ОАО Российские железные дороги</c:v>
                </c:pt>
                <c:pt idx="25">
                  <c:v>ОАО Ростелеком</c:v>
                </c:pt>
                <c:pt idx="26">
                  <c:v>ОАО Современный коммерческий флот</c:v>
                </c:pt>
              </c:strCache>
            </c:strRef>
          </c:cat>
          <c:val>
            <c:numRef>
              <c:f>'[Диаграмма 3 в Microsoft Office PowerPoint]Себестоимость отдельная'!$M$3:$M$29</c:f>
              <c:numCache>
                <c:formatCode>_(* #,##0.00_);_(* \(#,##0.00\);_(* "-"??_);_(@_)</c:formatCode>
                <c:ptCount val="27"/>
                <c:pt idx="0">
                  <c:v>98.499547120948804</c:v>
                </c:pt>
                <c:pt idx="1">
                  <c:v>101.57311084121029</c:v>
                </c:pt>
                <c:pt idx="2">
                  <c:v>89.966100131006613</c:v>
                </c:pt>
                <c:pt idx="3">
                  <c:v>82.590273838812763</c:v>
                </c:pt>
                <c:pt idx="4">
                  <c:v>101.7626789435227</c:v>
                </c:pt>
                <c:pt idx="5">
                  <c:v>39.612066582532449</c:v>
                </c:pt>
                <c:pt idx="6">
                  <c:v>68.118964113848619</c:v>
                </c:pt>
                <c:pt idx="7">
                  <c:v>50.855014924501013</c:v>
                </c:pt>
                <c:pt idx="8">
                  <c:v>48.653862777668593</c:v>
                </c:pt>
                <c:pt idx="9">
                  <c:v>57.009899945582013</c:v>
                </c:pt>
                <c:pt idx="10">
                  <c:v>85.235087042475996</c:v>
                </c:pt>
                <c:pt idx="11">
                  <c:v>79.824417509644888</c:v>
                </c:pt>
                <c:pt idx="12">
                  <c:v>92.287451114220858</c:v>
                </c:pt>
                <c:pt idx="13">
                  <c:v>72.890600558152215</c:v>
                </c:pt>
                <c:pt idx="14">
                  <c:v>77.613644982085162</c:v>
                </c:pt>
                <c:pt idx="15">
                  <c:v>169.41748335766599</c:v>
                </c:pt>
                <c:pt idx="16">
                  <c:v>61.884610899155327</c:v>
                </c:pt>
                <c:pt idx="17">
                  <c:v>88.365087611427768</c:v>
                </c:pt>
                <c:pt idx="18">
                  <c:v>60.347720275078821</c:v>
                </c:pt>
                <c:pt idx="19">
                  <c:v>74.763083475502967</c:v>
                </c:pt>
                <c:pt idx="20">
                  <c:v>48.201517654287038</c:v>
                </c:pt>
                <c:pt idx="21">
                  <c:v>80.914772090660009</c:v>
                </c:pt>
                <c:pt idx="22">
                  <c:v>0</c:v>
                </c:pt>
                <c:pt idx="23">
                  <c:v>28.7942105899584</c:v>
                </c:pt>
                <c:pt idx="24">
                  <c:v>95.821660249591773</c:v>
                </c:pt>
                <c:pt idx="25">
                  <c:v>85.57863899859997</c:v>
                </c:pt>
                <c:pt idx="26">
                  <c:v>49.461946161933398</c:v>
                </c:pt>
              </c:numCache>
            </c:numRef>
          </c:val>
        </c:ser>
        <c:ser>
          <c:idx val="1"/>
          <c:order val="1"/>
          <c:tx>
            <c:strRef>
              <c:f>'[Диаграмма 3 в Microsoft Office PowerPoint]Себестоимость отдельная'!$F$2</c:f>
              <c:strCache>
                <c:ptCount val="1"/>
                <c:pt idx="0">
                  <c:v>2013</c:v>
                </c:pt>
              </c:strCache>
            </c:strRef>
          </c:tx>
          <c:spPr>
            <a:solidFill>
              <a:schemeClr val="accent1">
                <a:lumMod val="20000"/>
                <a:lumOff val="80000"/>
              </a:schemeClr>
            </a:solidFill>
          </c:spPr>
          <c:invertIfNegative val="0"/>
          <c:val>
            <c:numRef>
              <c:f>'[Диаграмма 3 в Microsoft Office PowerPoint]Себестоимость отдельная'!$L$3:$L$29</c:f>
              <c:numCache>
                <c:formatCode>_(* #,##0.00_);_(* \(#,##0.00\);_(* "-"??_);_(@_)</c:formatCode>
                <c:ptCount val="27"/>
                <c:pt idx="0">
                  <c:v>94.768013341123805</c:v>
                </c:pt>
                <c:pt idx="1">
                  <c:v>94.238147437653765</c:v>
                </c:pt>
                <c:pt idx="2">
                  <c:v>87.399212113078249</c:v>
                </c:pt>
                <c:pt idx="3">
                  <c:v>85.482594883990515</c:v>
                </c:pt>
                <c:pt idx="4">
                  <c:v>74.850329679728915</c:v>
                </c:pt>
                <c:pt idx="5">
                  <c:v>45.221553096166339</c:v>
                </c:pt>
                <c:pt idx="6">
                  <c:v>69.186378530112265</c:v>
                </c:pt>
                <c:pt idx="7">
                  <c:v>49.005377309920689</c:v>
                </c:pt>
                <c:pt idx="8">
                  <c:v>46.921560917559262</c:v>
                </c:pt>
                <c:pt idx="9">
                  <c:v>55.600432230378622</c:v>
                </c:pt>
                <c:pt idx="10">
                  <c:v>86.393931903172273</c:v>
                </c:pt>
                <c:pt idx="11">
                  <c:v>82.144373635209917</c:v>
                </c:pt>
                <c:pt idx="12">
                  <c:v>93.976078255905549</c:v>
                </c:pt>
                <c:pt idx="13">
                  <c:v>74.651344955699258</c:v>
                </c:pt>
                <c:pt idx="14">
                  <c:v>84.176907567305449</c:v>
                </c:pt>
                <c:pt idx="15">
                  <c:v>149.88926937740621</c:v>
                </c:pt>
                <c:pt idx="16">
                  <c:v>53.411630560218377</c:v>
                </c:pt>
                <c:pt idx="17">
                  <c:v>85.694810828862742</c:v>
                </c:pt>
                <c:pt idx="18">
                  <c:v>54.114197474125397</c:v>
                </c:pt>
                <c:pt idx="19">
                  <c:v>77.710816466004914</c:v>
                </c:pt>
                <c:pt idx="20">
                  <c:v>52.170403814235343</c:v>
                </c:pt>
                <c:pt idx="21">
                  <c:v>80.266348179924165</c:v>
                </c:pt>
                <c:pt idx="22">
                  <c:v>67.681139388833728</c:v>
                </c:pt>
                <c:pt idx="23">
                  <c:v>34.013001820488448</c:v>
                </c:pt>
                <c:pt idx="24">
                  <c:v>95.723901663685851</c:v>
                </c:pt>
                <c:pt idx="25">
                  <c:v>83.676486058432275</c:v>
                </c:pt>
                <c:pt idx="26">
                  <c:v>51.727343702135911</c:v>
                </c:pt>
              </c:numCache>
            </c:numRef>
          </c:val>
        </c:ser>
        <c:dLbls>
          <c:showLegendKey val="0"/>
          <c:showVal val="0"/>
          <c:showCatName val="0"/>
          <c:showSerName val="0"/>
          <c:showPercent val="0"/>
          <c:showBubbleSize val="0"/>
        </c:dLbls>
        <c:gapWidth val="80"/>
        <c:axId val="134100096"/>
        <c:axId val="134101632"/>
      </c:barChart>
      <c:catAx>
        <c:axId val="134100096"/>
        <c:scaling>
          <c:orientation val="minMax"/>
        </c:scaling>
        <c:delete val="0"/>
        <c:axPos val="l"/>
        <c:majorTickMark val="out"/>
        <c:minorTickMark val="none"/>
        <c:tickLblPos val="nextTo"/>
        <c:crossAx val="134101632"/>
        <c:crosses val="autoZero"/>
        <c:auto val="1"/>
        <c:lblAlgn val="ctr"/>
        <c:lblOffset val="100"/>
        <c:noMultiLvlLbl val="0"/>
      </c:catAx>
      <c:valAx>
        <c:axId val="134101632"/>
        <c:scaling>
          <c:orientation val="minMax"/>
        </c:scaling>
        <c:delete val="0"/>
        <c:axPos val="b"/>
        <c:numFmt formatCode="#,##0" sourceLinked="0"/>
        <c:majorTickMark val="out"/>
        <c:minorTickMark val="none"/>
        <c:tickLblPos val="nextTo"/>
        <c:crossAx val="134100096"/>
        <c:crosses val="autoZero"/>
        <c:crossBetween val="between"/>
      </c:valAx>
      <c:spPr>
        <a:noFill/>
        <a:ln w="25400">
          <a:noFill/>
        </a:ln>
      </c:spPr>
    </c:plotArea>
    <c:legend>
      <c:legendPos val="r"/>
      <c:layout>
        <c:manualLayout>
          <c:xMode val="edge"/>
          <c:yMode val="edge"/>
          <c:x val="0.81215754760575898"/>
          <c:y val="0.79332810001601095"/>
          <c:w val="0.101219420025794"/>
          <c:h val="0.14422799364947"/>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927735611372202"/>
          <c:y val="1.8761300670749499E-2"/>
          <c:w val="0.51671065815392403"/>
          <c:h val="0.95833333333333404"/>
        </c:manualLayout>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Лист4!$B$6:$B$13</c:f>
              <c:strCache>
                <c:ptCount val="8"/>
                <c:pt idx="0">
                  <c:v>Нефть и газ</c:v>
                </c:pt>
                <c:pt idx="1">
                  <c:v>Коммунальное хозяйство</c:v>
                </c:pt>
                <c:pt idx="2">
                  <c:v>Медицина</c:v>
                </c:pt>
                <c:pt idx="3">
                  <c:v>Розничная торговля</c:v>
                </c:pt>
                <c:pt idx="4">
                  <c:v>Медиа</c:v>
                </c:pt>
                <c:pt idx="5">
                  <c:v>Промышленность</c:v>
                </c:pt>
                <c:pt idx="6">
                  <c:v>Фармацевтика</c:v>
                </c:pt>
                <c:pt idx="7">
                  <c:v>Страхование</c:v>
                </c:pt>
              </c:strCache>
            </c:strRef>
          </c:cat>
          <c:val>
            <c:numRef>
              <c:f>Лист4!$C$6:$C$13</c:f>
              <c:numCache>
                <c:formatCode>General</c:formatCode>
                <c:ptCount val="8"/>
                <c:pt idx="0">
                  <c:v>41.3</c:v>
                </c:pt>
                <c:pt idx="1">
                  <c:v>38.1</c:v>
                </c:pt>
                <c:pt idx="2">
                  <c:v>36.1</c:v>
                </c:pt>
                <c:pt idx="3">
                  <c:v>35.299999999999997</c:v>
                </c:pt>
                <c:pt idx="4">
                  <c:v>32.299999999999997</c:v>
                </c:pt>
                <c:pt idx="5">
                  <c:v>28</c:v>
                </c:pt>
                <c:pt idx="6">
                  <c:v>21.7</c:v>
                </c:pt>
                <c:pt idx="7">
                  <c:v>19.100000000000001</c:v>
                </c:pt>
              </c:numCache>
            </c:numRef>
          </c:val>
        </c:ser>
        <c:dLbls>
          <c:showLegendKey val="0"/>
          <c:showVal val="0"/>
          <c:showCatName val="0"/>
          <c:showSerName val="0"/>
          <c:showPercent val="0"/>
          <c:showBubbleSize val="0"/>
        </c:dLbls>
        <c:gapWidth val="78"/>
        <c:axId val="134117632"/>
        <c:axId val="134123520"/>
      </c:barChart>
      <c:catAx>
        <c:axId val="134117632"/>
        <c:scaling>
          <c:orientation val="maxMin"/>
        </c:scaling>
        <c:delete val="0"/>
        <c:axPos val="l"/>
        <c:majorTickMark val="out"/>
        <c:minorTickMark val="none"/>
        <c:tickLblPos val="nextTo"/>
        <c:crossAx val="134123520"/>
        <c:crosses val="autoZero"/>
        <c:auto val="1"/>
        <c:lblAlgn val="ctr"/>
        <c:lblOffset val="100"/>
        <c:noMultiLvlLbl val="0"/>
      </c:catAx>
      <c:valAx>
        <c:axId val="134123520"/>
        <c:scaling>
          <c:orientation val="minMax"/>
        </c:scaling>
        <c:delete val="1"/>
        <c:axPos val="t"/>
        <c:numFmt formatCode="General" sourceLinked="1"/>
        <c:majorTickMark val="out"/>
        <c:minorTickMark val="none"/>
        <c:tickLblPos val="none"/>
        <c:crossAx val="13411763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068130155605907E-2"/>
          <c:y val="5.1400554097404502E-2"/>
          <c:w val="0.87624320397450906"/>
          <c:h val="0.79523549139690797"/>
        </c:manualLayout>
      </c:layout>
      <c:barChart>
        <c:barDir val="col"/>
        <c:grouping val="clustered"/>
        <c:varyColors val="0"/>
        <c:ser>
          <c:idx val="0"/>
          <c:order val="0"/>
          <c:tx>
            <c:strRef>
              <c:f>'по странам'!$A$4</c:f>
              <c:strCache>
                <c:ptCount val="1"/>
                <c:pt idx="0">
                  <c:v>Запасы, млрд. барр. (прав. шкала)</c:v>
                </c:pt>
              </c:strCache>
            </c:strRef>
          </c:tx>
          <c:spPr>
            <a:solidFill>
              <a:schemeClr val="tx2">
                <a:lumMod val="20000"/>
                <a:lumOff val="80000"/>
              </a:schemeClr>
            </a:solidFill>
          </c:spPr>
          <c:invertIfNegative val="0"/>
          <c:cat>
            <c:numRef>
              <c:f>'по странам'!$B$3:$AJ$3</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'по странам'!$B$54:$AJ$54</c:f>
              <c:numCache>
                <c:formatCode>General</c:formatCode>
                <c:ptCount val="35"/>
                <c:pt idx="0">
                  <c:v>36.533000469207487</c:v>
                </c:pt>
                <c:pt idx="1">
                  <c:v>36.494000434875403</c:v>
                </c:pt>
                <c:pt idx="2">
                  <c:v>35.078999996185452</c:v>
                </c:pt>
                <c:pt idx="3">
                  <c:v>35.636000633239703</c:v>
                </c:pt>
                <c:pt idx="4">
                  <c:v>36.088999271392787</c:v>
                </c:pt>
                <c:pt idx="5">
                  <c:v>36.360000133514397</c:v>
                </c:pt>
                <c:pt idx="6">
                  <c:v>35.0539999008178</c:v>
                </c:pt>
                <c:pt idx="7">
                  <c:v>35.403000831603997</c:v>
                </c:pt>
                <c:pt idx="8">
                  <c:v>35.063000679016</c:v>
                </c:pt>
                <c:pt idx="9">
                  <c:v>34.269999504089313</c:v>
                </c:pt>
                <c:pt idx="10">
                  <c:v>33.839999675750541</c:v>
                </c:pt>
                <c:pt idx="11">
                  <c:v>32.145999431610001</c:v>
                </c:pt>
                <c:pt idx="12">
                  <c:v>31.196001052856499</c:v>
                </c:pt>
                <c:pt idx="13">
                  <c:v>30.179000854492131</c:v>
                </c:pt>
                <c:pt idx="14">
                  <c:v>29.627000808715799</c:v>
                </c:pt>
                <c:pt idx="15">
                  <c:v>29.75</c:v>
                </c:pt>
                <c:pt idx="16">
                  <c:v>29.840000152587791</c:v>
                </c:pt>
                <c:pt idx="17">
                  <c:v>30.518999576568589</c:v>
                </c:pt>
                <c:pt idx="18">
                  <c:v>28.558000564575138</c:v>
                </c:pt>
                <c:pt idx="19">
                  <c:v>29.6709995269775</c:v>
                </c:pt>
                <c:pt idx="20">
                  <c:v>30.39000034332269</c:v>
                </c:pt>
                <c:pt idx="21">
                  <c:v>30.43899917602522</c:v>
                </c:pt>
                <c:pt idx="22">
                  <c:v>30.671000003814761</c:v>
                </c:pt>
                <c:pt idx="23">
                  <c:v>29.3500008583068</c:v>
                </c:pt>
                <c:pt idx="24">
                  <c:v>29.299000263214101</c:v>
                </c:pt>
                <c:pt idx="25">
                  <c:v>29.921999931335289</c:v>
                </c:pt>
                <c:pt idx="26">
                  <c:v>29.444000244140589</c:v>
                </c:pt>
                <c:pt idx="27">
                  <c:v>30.459999084472599</c:v>
                </c:pt>
                <c:pt idx="28">
                  <c:v>28.395999908447202</c:v>
                </c:pt>
                <c:pt idx="29">
                  <c:v>30.871998786926198</c:v>
                </c:pt>
                <c:pt idx="30">
                  <c:v>34.989999771117994</c:v>
                </c:pt>
                <c:pt idx="31">
                  <c:v>39.775000572204497</c:v>
                </c:pt>
                <c:pt idx="32">
                  <c:v>44.179999351501401</c:v>
                </c:pt>
                <c:pt idx="33">
                  <c:v>48.46299839019786</c:v>
                </c:pt>
                <c:pt idx="34">
                  <c:v>48.46299839019786</c:v>
                </c:pt>
              </c:numCache>
            </c:numRef>
          </c:val>
        </c:ser>
        <c:dLbls>
          <c:showLegendKey val="0"/>
          <c:showVal val="0"/>
          <c:showCatName val="0"/>
          <c:showSerName val="0"/>
          <c:showPercent val="0"/>
          <c:showBubbleSize val="0"/>
        </c:dLbls>
        <c:gapWidth val="50"/>
        <c:axId val="134707840"/>
        <c:axId val="134706304"/>
      </c:barChart>
      <c:lineChart>
        <c:grouping val="standard"/>
        <c:varyColors val="0"/>
        <c:ser>
          <c:idx val="1"/>
          <c:order val="1"/>
          <c:tx>
            <c:strRef>
              <c:f>'по странам'!$A$5</c:f>
              <c:strCache>
                <c:ptCount val="1"/>
                <c:pt idx="0">
                  <c:v>Добыча, тыс. барр. в сутки</c:v>
                </c:pt>
              </c:strCache>
            </c:strRef>
          </c:tx>
          <c:spPr>
            <a:ln>
              <a:solidFill>
                <a:srgbClr val="002060"/>
              </a:solidFill>
            </a:ln>
          </c:spPr>
          <c:marker>
            <c:symbol val="none"/>
          </c:marker>
          <c:cat>
            <c:numRef>
              <c:f>'по странам'!$B$3:$AJ$3</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'по странам'!$B$55:$AJ$55</c:f>
              <c:numCache>
                <c:formatCode>General</c:formatCode>
                <c:ptCount val="35"/>
                <c:pt idx="0">
                  <c:v>10169.626</c:v>
                </c:pt>
                <c:pt idx="1">
                  <c:v>10180.573</c:v>
                </c:pt>
                <c:pt idx="2">
                  <c:v>10198.534000000011</c:v>
                </c:pt>
                <c:pt idx="3">
                  <c:v>10246.668</c:v>
                </c:pt>
                <c:pt idx="4">
                  <c:v>10508.950999999861</c:v>
                </c:pt>
                <c:pt idx="5">
                  <c:v>10580.378000000001</c:v>
                </c:pt>
                <c:pt idx="6">
                  <c:v>10231.142000000011</c:v>
                </c:pt>
                <c:pt idx="7">
                  <c:v>9943.9779999999337</c:v>
                </c:pt>
                <c:pt idx="8">
                  <c:v>9764.6890000000003</c:v>
                </c:pt>
                <c:pt idx="9">
                  <c:v>9159.0769999999447</c:v>
                </c:pt>
                <c:pt idx="10">
                  <c:v>8914.3069999999389</c:v>
                </c:pt>
                <c:pt idx="11">
                  <c:v>9075.5450000000001</c:v>
                </c:pt>
                <c:pt idx="12">
                  <c:v>8868.125</c:v>
                </c:pt>
                <c:pt idx="13">
                  <c:v>8582.6649999999718</c:v>
                </c:pt>
                <c:pt idx="14">
                  <c:v>8388.5789999999452</c:v>
                </c:pt>
                <c:pt idx="15">
                  <c:v>8321.638999999981</c:v>
                </c:pt>
                <c:pt idx="16">
                  <c:v>8294.527</c:v>
                </c:pt>
                <c:pt idx="17">
                  <c:v>8268.5920000000006</c:v>
                </c:pt>
                <c:pt idx="18">
                  <c:v>8010.8330000000014</c:v>
                </c:pt>
                <c:pt idx="19">
                  <c:v>7731.4579999999896</c:v>
                </c:pt>
                <c:pt idx="20">
                  <c:v>7731.6040000000003</c:v>
                </c:pt>
                <c:pt idx="21">
                  <c:v>7669.4009999999926</c:v>
                </c:pt>
                <c:pt idx="22">
                  <c:v>7625.0780000000004</c:v>
                </c:pt>
                <c:pt idx="23">
                  <c:v>7367.3</c:v>
                </c:pt>
                <c:pt idx="24">
                  <c:v>7249.9949999999899</c:v>
                </c:pt>
                <c:pt idx="25">
                  <c:v>6897.3690000000024</c:v>
                </c:pt>
                <c:pt idx="26">
                  <c:v>6826.7669999999944</c:v>
                </c:pt>
                <c:pt idx="27">
                  <c:v>6860.0469999999996</c:v>
                </c:pt>
                <c:pt idx="28">
                  <c:v>6783.7190000000001</c:v>
                </c:pt>
                <c:pt idx="29">
                  <c:v>7259.7799999999897</c:v>
                </c:pt>
                <c:pt idx="30">
                  <c:v>7555.81</c:v>
                </c:pt>
                <c:pt idx="31">
                  <c:v>7860.9269999999924</c:v>
                </c:pt>
                <c:pt idx="32">
                  <c:v>8903.737999999983</c:v>
                </c:pt>
                <c:pt idx="33">
                  <c:v>10068.517</c:v>
                </c:pt>
                <c:pt idx="34">
                  <c:v>11644.09</c:v>
                </c:pt>
              </c:numCache>
            </c:numRef>
          </c:val>
          <c:smooth val="0"/>
        </c:ser>
        <c:ser>
          <c:idx val="2"/>
          <c:order val="2"/>
          <c:tx>
            <c:strRef>
              <c:f>'по странам'!$A$6</c:f>
              <c:strCache>
                <c:ptCount val="1"/>
                <c:pt idx="0">
                  <c:v>Потребление, тыс. барр. в сутки</c:v>
                </c:pt>
              </c:strCache>
            </c:strRef>
          </c:tx>
          <c:spPr>
            <a:ln>
              <a:solidFill>
                <a:srgbClr val="FF0000"/>
              </a:solidFill>
            </a:ln>
          </c:spPr>
          <c:marker>
            <c:symbol val="none"/>
          </c:marker>
          <c:cat>
            <c:numRef>
              <c:f>'по странам'!$B$3:$AJ$3</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'по странам'!$B$56:$AJ$56</c:f>
              <c:numCache>
                <c:formatCode>General</c:formatCode>
                <c:ptCount val="35"/>
                <c:pt idx="0">
                  <c:v>17062.354835999999</c:v>
                </c:pt>
                <c:pt idx="1">
                  <c:v>16059.695341000001</c:v>
                </c:pt>
                <c:pt idx="2">
                  <c:v>15294.962683999969</c:v>
                </c:pt>
                <c:pt idx="3">
                  <c:v>15234.540301999899</c:v>
                </c:pt>
                <c:pt idx="4">
                  <c:v>15725.35893454635</c:v>
                </c:pt>
                <c:pt idx="5">
                  <c:v>15726.130987136939</c:v>
                </c:pt>
                <c:pt idx="6">
                  <c:v>16280.89361549306</c:v>
                </c:pt>
                <c:pt idx="7">
                  <c:v>16664.669123109499</c:v>
                </c:pt>
                <c:pt idx="8">
                  <c:v>17283.250134530001</c:v>
                </c:pt>
                <c:pt idx="9">
                  <c:v>17325.233205041</c:v>
                </c:pt>
                <c:pt idx="10">
                  <c:v>16988.182357739701</c:v>
                </c:pt>
                <c:pt idx="11">
                  <c:v>16713.443067643799</c:v>
                </c:pt>
                <c:pt idx="12">
                  <c:v>17032.78270427867</c:v>
                </c:pt>
                <c:pt idx="13">
                  <c:v>17236.2309859589</c:v>
                </c:pt>
                <c:pt idx="14">
                  <c:v>17718.647510082101</c:v>
                </c:pt>
                <c:pt idx="15">
                  <c:v>17724.819781972528</c:v>
                </c:pt>
                <c:pt idx="16">
                  <c:v>18309.358197459009</c:v>
                </c:pt>
                <c:pt idx="17">
                  <c:v>18620.574107753429</c:v>
                </c:pt>
                <c:pt idx="18">
                  <c:v>18917.1879187671</c:v>
                </c:pt>
                <c:pt idx="19">
                  <c:v>19518.90178156169</c:v>
                </c:pt>
                <c:pt idx="20">
                  <c:v>19701.368196754102</c:v>
                </c:pt>
                <c:pt idx="21">
                  <c:v>19648.619727657409</c:v>
                </c:pt>
                <c:pt idx="22">
                  <c:v>19760.904847931499</c:v>
                </c:pt>
                <c:pt idx="23">
                  <c:v>20033.04008075349</c:v>
                </c:pt>
                <c:pt idx="24">
                  <c:v>20731.543715879699</c:v>
                </c:pt>
                <c:pt idx="25">
                  <c:v>20802.160382767121</c:v>
                </c:pt>
                <c:pt idx="26">
                  <c:v>20687.41917808204</c:v>
                </c:pt>
                <c:pt idx="27">
                  <c:v>20680.383561643801</c:v>
                </c:pt>
                <c:pt idx="28">
                  <c:v>19490.413731760029</c:v>
                </c:pt>
                <c:pt idx="29">
                  <c:v>18771.397260273901</c:v>
                </c:pt>
                <c:pt idx="30">
                  <c:v>19180.128767123198</c:v>
                </c:pt>
                <c:pt idx="31">
                  <c:v>18882.073972602699</c:v>
                </c:pt>
                <c:pt idx="32">
                  <c:v>18490.215846994499</c:v>
                </c:pt>
                <c:pt idx="33">
                  <c:v>18961.126027397109</c:v>
                </c:pt>
                <c:pt idx="34">
                  <c:v>19034.838356164299</c:v>
                </c:pt>
              </c:numCache>
            </c:numRef>
          </c:val>
          <c:smooth val="0"/>
        </c:ser>
        <c:dLbls>
          <c:showLegendKey val="0"/>
          <c:showVal val="0"/>
          <c:showCatName val="0"/>
          <c:showSerName val="0"/>
          <c:showPercent val="0"/>
          <c:showBubbleSize val="0"/>
        </c:dLbls>
        <c:marker val="1"/>
        <c:smooth val="0"/>
        <c:axId val="134698880"/>
        <c:axId val="134700416"/>
      </c:lineChart>
      <c:catAx>
        <c:axId val="134698880"/>
        <c:scaling>
          <c:orientation val="minMax"/>
        </c:scaling>
        <c:delete val="0"/>
        <c:axPos val="b"/>
        <c:numFmt formatCode="General" sourceLinked="1"/>
        <c:majorTickMark val="out"/>
        <c:minorTickMark val="none"/>
        <c:tickLblPos val="nextTo"/>
        <c:crossAx val="134700416"/>
        <c:crosses val="autoZero"/>
        <c:auto val="1"/>
        <c:lblAlgn val="ctr"/>
        <c:lblOffset val="100"/>
        <c:tickLblSkip val="2"/>
        <c:noMultiLvlLbl val="0"/>
      </c:catAx>
      <c:valAx>
        <c:axId val="134700416"/>
        <c:scaling>
          <c:orientation val="minMax"/>
        </c:scaling>
        <c:delete val="0"/>
        <c:axPos val="l"/>
        <c:numFmt formatCode="General" sourceLinked="1"/>
        <c:majorTickMark val="out"/>
        <c:minorTickMark val="none"/>
        <c:tickLblPos val="nextTo"/>
        <c:crossAx val="134698880"/>
        <c:crosses val="autoZero"/>
        <c:crossBetween val="between"/>
      </c:valAx>
      <c:valAx>
        <c:axId val="134706304"/>
        <c:scaling>
          <c:orientation val="minMax"/>
        </c:scaling>
        <c:delete val="0"/>
        <c:axPos val="r"/>
        <c:numFmt formatCode="General" sourceLinked="1"/>
        <c:majorTickMark val="out"/>
        <c:minorTickMark val="none"/>
        <c:tickLblPos val="nextTo"/>
        <c:crossAx val="134707840"/>
        <c:crosses val="max"/>
        <c:crossBetween val="between"/>
      </c:valAx>
      <c:catAx>
        <c:axId val="134707840"/>
        <c:scaling>
          <c:orientation val="minMax"/>
        </c:scaling>
        <c:delete val="1"/>
        <c:axPos val="b"/>
        <c:numFmt formatCode="General" sourceLinked="1"/>
        <c:majorTickMark val="out"/>
        <c:minorTickMark val="none"/>
        <c:tickLblPos val="none"/>
        <c:crossAx val="134706304"/>
        <c:crosses val="autoZero"/>
        <c:auto val="1"/>
        <c:lblAlgn val="ctr"/>
        <c:lblOffset val="100"/>
        <c:noMultiLvlLbl val="0"/>
      </c:catAx>
    </c:plotArea>
    <c:legend>
      <c:legendPos val="r"/>
      <c:layout>
        <c:manualLayout>
          <c:xMode val="edge"/>
          <c:yMode val="edge"/>
          <c:x val="7.3321298252352604E-2"/>
          <c:y val="1.7942548848060801E-2"/>
          <c:w val="0.444661787666707"/>
          <c:h val="0.21874416739574301"/>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068130155605907E-2"/>
          <c:y val="5.1400554097404502E-2"/>
          <c:w val="0.87624320397451105"/>
          <c:h val="0.79523549139690797"/>
        </c:manualLayout>
      </c:layout>
      <c:barChart>
        <c:barDir val="col"/>
        <c:grouping val="clustered"/>
        <c:varyColors val="0"/>
        <c:ser>
          <c:idx val="0"/>
          <c:order val="0"/>
          <c:tx>
            <c:strRef>
              <c:f>'по странам'!$A$4</c:f>
              <c:strCache>
                <c:ptCount val="1"/>
                <c:pt idx="0">
                  <c:v>Запасы, млрд. барр. (прав. шкала)</c:v>
                </c:pt>
              </c:strCache>
            </c:strRef>
          </c:tx>
          <c:spPr>
            <a:solidFill>
              <a:schemeClr val="tx2">
                <a:lumMod val="20000"/>
                <a:lumOff val="80000"/>
              </a:schemeClr>
            </a:solidFill>
          </c:spPr>
          <c:invertIfNegative val="0"/>
          <c:cat>
            <c:numRef>
              <c:f>'по странам'!$B$3:$AJ$3</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'по странам'!$B$201:$AJ$201</c:f>
              <c:numCache>
                <c:formatCode>General</c:formatCode>
                <c:ptCount val="35"/>
                <c:pt idx="0">
                  <c:v>39.527521491050578</c:v>
                </c:pt>
                <c:pt idx="1">
                  <c:v>40.17533409595503</c:v>
                </c:pt>
                <c:pt idx="2">
                  <c:v>40.3120967149734</c:v>
                </c:pt>
                <c:pt idx="3">
                  <c:v>40.491260766982997</c:v>
                </c:pt>
                <c:pt idx="4">
                  <c:v>40.531766772270203</c:v>
                </c:pt>
                <c:pt idx="5">
                  <c:v>40.9390387535095</c:v>
                </c:pt>
                <c:pt idx="6">
                  <c:v>41.102000951766897</c:v>
                </c:pt>
                <c:pt idx="7">
                  <c:v>41.201262474060002</c:v>
                </c:pt>
                <c:pt idx="8">
                  <c:v>41.46775960922227</c:v>
                </c:pt>
                <c:pt idx="9">
                  <c:v>41.295702457428007</c:v>
                </c:pt>
                <c:pt idx="10">
                  <c:v>40.293837785720811</c:v>
                </c:pt>
                <c:pt idx="11">
                  <c:v>40.098359823227007</c:v>
                </c:pt>
                <c:pt idx="12">
                  <c:v>39.633990049362097</c:v>
                </c:pt>
                <c:pt idx="13">
                  <c:v>39.495721340179621</c:v>
                </c:pt>
                <c:pt idx="14">
                  <c:v>48.149205803871112</c:v>
                </c:pt>
                <c:pt idx="15">
                  <c:v>48.366555213928322</c:v>
                </c:pt>
                <c:pt idx="16">
                  <c:v>48.942625999450598</c:v>
                </c:pt>
                <c:pt idx="17">
                  <c:v>48.803092837333587</c:v>
                </c:pt>
                <c:pt idx="18">
                  <c:v>49.823088884353602</c:v>
                </c:pt>
                <c:pt idx="19">
                  <c:v>181.56044626235899</c:v>
                </c:pt>
                <c:pt idx="20">
                  <c:v>181.5036959648119</c:v>
                </c:pt>
                <c:pt idx="21">
                  <c:v>180.94095504283851</c:v>
                </c:pt>
                <c:pt idx="22">
                  <c:v>180.400013208389</c:v>
                </c:pt>
                <c:pt idx="23">
                  <c:v>179.90295076370151</c:v>
                </c:pt>
                <c:pt idx="24">
                  <c:v>179.57604098319999</c:v>
                </c:pt>
                <c:pt idx="25">
                  <c:v>180.044114947319</c:v>
                </c:pt>
                <c:pt idx="26">
                  <c:v>179.361954927444</c:v>
                </c:pt>
                <c:pt idx="27">
                  <c:v>178.834030628204</c:v>
                </c:pt>
                <c:pt idx="28">
                  <c:v>176.34992015361701</c:v>
                </c:pt>
                <c:pt idx="29">
                  <c:v>175.339444994926</c:v>
                </c:pt>
                <c:pt idx="30">
                  <c:v>174.90420031547561</c:v>
                </c:pt>
                <c:pt idx="31">
                  <c:v>174.16062366962399</c:v>
                </c:pt>
                <c:pt idx="32">
                  <c:v>173.5571010112761</c:v>
                </c:pt>
                <c:pt idx="33">
                  <c:v>172.91731250286099</c:v>
                </c:pt>
                <c:pt idx="34">
                  <c:v>172.91731250286099</c:v>
                </c:pt>
              </c:numCache>
            </c:numRef>
          </c:val>
        </c:ser>
        <c:dLbls>
          <c:showLegendKey val="0"/>
          <c:showVal val="0"/>
          <c:showCatName val="0"/>
          <c:showSerName val="0"/>
          <c:showPercent val="0"/>
          <c:showBubbleSize val="0"/>
        </c:dLbls>
        <c:gapWidth val="50"/>
        <c:axId val="149821312"/>
        <c:axId val="149819776"/>
      </c:barChart>
      <c:lineChart>
        <c:grouping val="standard"/>
        <c:varyColors val="0"/>
        <c:ser>
          <c:idx val="1"/>
          <c:order val="1"/>
          <c:tx>
            <c:strRef>
              <c:f>'по странам'!$A$5</c:f>
              <c:strCache>
                <c:ptCount val="1"/>
                <c:pt idx="0">
                  <c:v>Добыча, тыс. барр. в сутки</c:v>
                </c:pt>
              </c:strCache>
            </c:strRef>
          </c:tx>
          <c:spPr>
            <a:ln>
              <a:solidFill>
                <a:srgbClr val="002060"/>
              </a:solidFill>
            </a:ln>
          </c:spPr>
          <c:marker>
            <c:symbol val="none"/>
          </c:marker>
          <c:cat>
            <c:numRef>
              <c:f>'по странам'!$B$3:$AJ$3</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'по странам'!$B$202:$AJ$202</c:f>
              <c:numCache>
                <c:formatCode>[&gt;=0.05]0.0;[=0]\-;\^</c:formatCode>
                <c:ptCount val="35"/>
                <c:pt idx="0">
                  <c:v>1764</c:v>
                </c:pt>
                <c:pt idx="1">
                  <c:v>1610</c:v>
                </c:pt>
                <c:pt idx="2">
                  <c:v>1590</c:v>
                </c:pt>
                <c:pt idx="3">
                  <c:v>1661</c:v>
                </c:pt>
                <c:pt idx="4">
                  <c:v>1775</c:v>
                </c:pt>
                <c:pt idx="5">
                  <c:v>1812.79521099365</c:v>
                </c:pt>
                <c:pt idx="6">
                  <c:v>1805.11746164192</c:v>
                </c:pt>
                <c:pt idx="7">
                  <c:v>1908.7699482158</c:v>
                </c:pt>
                <c:pt idx="8">
                  <c:v>2002.4185139874139</c:v>
                </c:pt>
                <c:pt idx="9">
                  <c:v>1961.45622826868</c:v>
                </c:pt>
                <c:pt idx="10">
                  <c:v>1967.7356711049661</c:v>
                </c:pt>
                <c:pt idx="11">
                  <c:v>1983.5053432645</c:v>
                </c:pt>
                <c:pt idx="12">
                  <c:v>2065.5790598282001</c:v>
                </c:pt>
                <c:pt idx="13">
                  <c:v>2189.0103027952382</c:v>
                </c:pt>
                <c:pt idx="14">
                  <c:v>2281.3347888038102</c:v>
                </c:pt>
                <c:pt idx="15">
                  <c:v>2402.1278128998201</c:v>
                </c:pt>
                <c:pt idx="16">
                  <c:v>2479.9174236024778</c:v>
                </c:pt>
                <c:pt idx="17">
                  <c:v>2587.5902828443968</c:v>
                </c:pt>
                <c:pt idx="18">
                  <c:v>2672.3813391137101</c:v>
                </c:pt>
                <c:pt idx="19">
                  <c:v>2604.3995949776918</c:v>
                </c:pt>
                <c:pt idx="20">
                  <c:v>2703.4019023673418</c:v>
                </c:pt>
                <c:pt idx="21">
                  <c:v>2727.9684652196388</c:v>
                </c:pt>
                <c:pt idx="22">
                  <c:v>2858.17271732481</c:v>
                </c:pt>
                <c:pt idx="23">
                  <c:v>3003.4828546301201</c:v>
                </c:pt>
                <c:pt idx="24">
                  <c:v>3079.8866015198491</c:v>
                </c:pt>
                <c:pt idx="25">
                  <c:v>3040.9063669381212</c:v>
                </c:pt>
                <c:pt idx="26">
                  <c:v>3208.391102778206</c:v>
                </c:pt>
                <c:pt idx="27">
                  <c:v>3290.19483040047</c:v>
                </c:pt>
                <c:pt idx="28">
                  <c:v>3207.0352975595379</c:v>
                </c:pt>
                <c:pt idx="29">
                  <c:v>3202.4011350670712</c:v>
                </c:pt>
                <c:pt idx="30">
                  <c:v>3332.0815234828701</c:v>
                </c:pt>
                <c:pt idx="31">
                  <c:v>3514.8220660394718</c:v>
                </c:pt>
                <c:pt idx="32">
                  <c:v>3740.1723733119502</c:v>
                </c:pt>
                <c:pt idx="33">
                  <c:v>3977.3644087272692</c:v>
                </c:pt>
                <c:pt idx="34">
                  <c:v>4292.3246191910757</c:v>
                </c:pt>
              </c:numCache>
            </c:numRef>
          </c:val>
          <c:smooth val="0"/>
        </c:ser>
        <c:ser>
          <c:idx val="2"/>
          <c:order val="2"/>
          <c:tx>
            <c:strRef>
              <c:f>'по странам'!$A$6</c:f>
              <c:strCache>
                <c:ptCount val="1"/>
                <c:pt idx="0">
                  <c:v>Потребление, тыс. барр. в сутки</c:v>
                </c:pt>
              </c:strCache>
            </c:strRef>
          </c:tx>
          <c:spPr>
            <a:ln>
              <a:solidFill>
                <a:srgbClr val="FF0000"/>
              </a:solidFill>
            </a:ln>
          </c:spPr>
          <c:marker>
            <c:symbol val="none"/>
          </c:marker>
          <c:cat>
            <c:numRef>
              <c:f>'по странам'!$B$3:$AJ$3</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'по странам'!$B$203:$AJ$203</c:f>
              <c:numCache>
                <c:formatCode>[&gt;=0.05]0.0;[=0]\-;\^</c:formatCode>
                <c:ptCount val="35"/>
                <c:pt idx="0">
                  <c:v>1898.03245901639</c:v>
                </c:pt>
                <c:pt idx="1">
                  <c:v>1788.17109589041</c:v>
                </c:pt>
                <c:pt idx="2">
                  <c:v>1608.5453698630099</c:v>
                </c:pt>
                <c:pt idx="3">
                  <c:v>1518.1247397260199</c:v>
                </c:pt>
                <c:pt idx="4">
                  <c:v>1539.7878142076499</c:v>
                </c:pt>
                <c:pt idx="5">
                  <c:v>1556.13153424657</c:v>
                </c:pt>
                <c:pt idx="6">
                  <c:v>1559.4790684931511</c:v>
                </c:pt>
                <c:pt idx="7">
                  <c:v>1627.21315068493</c:v>
                </c:pt>
                <c:pt idx="8">
                  <c:v>1709.7737704918</c:v>
                </c:pt>
                <c:pt idx="9">
                  <c:v>1770.7193424657501</c:v>
                </c:pt>
                <c:pt idx="10">
                  <c:v>1747.3063561643801</c:v>
                </c:pt>
                <c:pt idx="11">
                  <c:v>1659.16849315068</c:v>
                </c:pt>
                <c:pt idx="12">
                  <c:v>1688.91371584699</c:v>
                </c:pt>
                <c:pt idx="13">
                  <c:v>1697.2957808219101</c:v>
                </c:pt>
                <c:pt idx="14">
                  <c:v>1726.1353698630101</c:v>
                </c:pt>
                <c:pt idx="15">
                  <c:v>1848.2488244295801</c:v>
                </c:pt>
                <c:pt idx="16">
                  <c:v>1889.21827863454</c:v>
                </c:pt>
                <c:pt idx="17">
                  <c:v>1968.8843788339229</c:v>
                </c:pt>
                <c:pt idx="18">
                  <c:v>2002.2677130643201</c:v>
                </c:pt>
                <c:pt idx="19">
                  <c:v>2061.2129587842201</c:v>
                </c:pt>
                <c:pt idx="20">
                  <c:v>2042.7063820573101</c:v>
                </c:pt>
                <c:pt idx="21">
                  <c:v>2093.8701559046822</c:v>
                </c:pt>
                <c:pt idx="22">
                  <c:v>2172.313142868556</c:v>
                </c:pt>
                <c:pt idx="23">
                  <c:v>2228.2381765604782</c:v>
                </c:pt>
                <c:pt idx="24">
                  <c:v>2308.5909116077601</c:v>
                </c:pt>
                <c:pt idx="25">
                  <c:v>2287.5412694308002</c:v>
                </c:pt>
                <c:pt idx="26">
                  <c:v>2295.2505956815712</c:v>
                </c:pt>
                <c:pt idx="27">
                  <c:v>2361.1789443805101</c:v>
                </c:pt>
                <c:pt idx="28">
                  <c:v>2315.0152315010482</c:v>
                </c:pt>
                <c:pt idx="29">
                  <c:v>2189.8636104032912</c:v>
                </c:pt>
                <c:pt idx="30">
                  <c:v>2316.4606129659501</c:v>
                </c:pt>
                <c:pt idx="31">
                  <c:v>2404.4639399368812</c:v>
                </c:pt>
                <c:pt idx="32">
                  <c:v>2372.0885789293998</c:v>
                </c:pt>
                <c:pt idx="33">
                  <c:v>2382.9304195919722</c:v>
                </c:pt>
                <c:pt idx="34">
                  <c:v>2370.5845939288201</c:v>
                </c:pt>
              </c:numCache>
            </c:numRef>
          </c:val>
          <c:smooth val="0"/>
        </c:ser>
        <c:dLbls>
          <c:showLegendKey val="0"/>
          <c:showVal val="0"/>
          <c:showCatName val="0"/>
          <c:showSerName val="0"/>
          <c:showPercent val="0"/>
          <c:showBubbleSize val="0"/>
        </c:dLbls>
        <c:marker val="1"/>
        <c:smooth val="0"/>
        <c:axId val="134734976"/>
        <c:axId val="134736512"/>
      </c:lineChart>
      <c:catAx>
        <c:axId val="134734976"/>
        <c:scaling>
          <c:orientation val="minMax"/>
        </c:scaling>
        <c:delete val="0"/>
        <c:axPos val="b"/>
        <c:numFmt formatCode="General" sourceLinked="1"/>
        <c:majorTickMark val="out"/>
        <c:minorTickMark val="none"/>
        <c:tickLblPos val="nextTo"/>
        <c:crossAx val="134736512"/>
        <c:crosses val="autoZero"/>
        <c:auto val="1"/>
        <c:lblAlgn val="ctr"/>
        <c:lblOffset val="100"/>
        <c:tickLblSkip val="2"/>
        <c:noMultiLvlLbl val="0"/>
      </c:catAx>
      <c:valAx>
        <c:axId val="134736512"/>
        <c:scaling>
          <c:orientation val="minMax"/>
        </c:scaling>
        <c:delete val="0"/>
        <c:axPos val="l"/>
        <c:numFmt formatCode="#,##0" sourceLinked="0"/>
        <c:majorTickMark val="out"/>
        <c:minorTickMark val="none"/>
        <c:tickLblPos val="nextTo"/>
        <c:crossAx val="134734976"/>
        <c:crosses val="autoZero"/>
        <c:crossBetween val="between"/>
      </c:valAx>
      <c:valAx>
        <c:axId val="149819776"/>
        <c:scaling>
          <c:orientation val="minMax"/>
          <c:max val="200"/>
        </c:scaling>
        <c:delete val="0"/>
        <c:axPos val="r"/>
        <c:numFmt formatCode="General" sourceLinked="1"/>
        <c:majorTickMark val="out"/>
        <c:minorTickMark val="none"/>
        <c:tickLblPos val="nextTo"/>
        <c:crossAx val="149821312"/>
        <c:crosses val="max"/>
        <c:crossBetween val="between"/>
        <c:majorUnit val="40"/>
      </c:valAx>
      <c:catAx>
        <c:axId val="149821312"/>
        <c:scaling>
          <c:orientation val="minMax"/>
        </c:scaling>
        <c:delete val="1"/>
        <c:axPos val="b"/>
        <c:numFmt formatCode="General" sourceLinked="1"/>
        <c:majorTickMark val="out"/>
        <c:minorTickMark val="none"/>
        <c:tickLblPos val="none"/>
        <c:crossAx val="149819776"/>
        <c:crosses val="autoZero"/>
        <c:auto val="1"/>
        <c:lblAlgn val="ctr"/>
        <c:lblOffset val="100"/>
        <c:noMultiLvlLbl val="0"/>
      </c:catAx>
    </c:plotArea>
    <c:legend>
      <c:legendPos val="r"/>
      <c:layout>
        <c:manualLayout>
          <c:xMode val="edge"/>
          <c:yMode val="edge"/>
          <c:x val="7.3321298252352604E-2"/>
          <c:y val="2.7201808107320299E-2"/>
          <c:w val="0.419007057575848"/>
          <c:h val="0.21874416739574401"/>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068130155605907E-2"/>
          <c:y val="5.1400554097404502E-2"/>
          <c:w val="0.87624320397451005"/>
          <c:h val="0.79523549139690797"/>
        </c:manualLayout>
      </c:layout>
      <c:barChart>
        <c:barDir val="col"/>
        <c:grouping val="clustered"/>
        <c:varyColors val="0"/>
        <c:ser>
          <c:idx val="0"/>
          <c:order val="0"/>
          <c:tx>
            <c:strRef>
              <c:f>'по странам'!$A$4</c:f>
              <c:strCache>
                <c:ptCount val="1"/>
                <c:pt idx="0">
                  <c:v>Запасы, млрд. барр. (прав. шкала)</c:v>
                </c:pt>
              </c:strCache>
            </c:strRef>
          </c:tx>
          <c:spPr>
            <a:solidFill>
              <a:schemeClr val="tx2">
                <a:lumMod val="20000"/>
                <a:lumOff val="80000"/>
              </a:schemeClr>
            </a:solidFill>
          </c:spPr>
          <c:invertIfNegative val="0"/>
          <c:cat>
            <c:numRef>
              <c:f>'по странам'!$B$3:$AJ$3</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'по странам'!$B$177:$AJ$177</c:f>
              <c:numCache>
                <c:formatCode>General</c:formatCode>
                <c:ptCount val="35"/>
                <c:pt idx="0">
                  <c:v>3.9520615935325591</c:v>
                </c:pt>
                <c:pt idx="1">
                  <c:v>3.9549597501754801</c:v>
                </c:pt>
                <c:pt idx="2">
                  <c:v>3.8165837526321398</c:v>
                </c:pt>
                <c:pt idx="3">
                  <c:v>4.8870111107826197</c:v>
                </c:pt>
                <c:pt idx="4">
                  <c:v>4.96190878748894</c:v>
                </c:pt>
                <c:pt idx="5">
                  <c:v>5.9026606082916482</c:v>
                </c:pt>
                <c:pt idx="6">
                  <c:v>6.4933552145957876</c:v>
                </c:pt>
                <c:pt idx="7">
                  <c:v>6.6360846161842266</c:v>
                </c:pt>
                <c:pt idx="8">
                  <c:v>8.1564689874648995</c:v>
                </c:pt>
                <c:pt idx="9">
                  <c:v>8.4216350913047808</c:v>
                </c:pt>
                <c:pt idx="10">
                  <c:v>8.6305726766586304</c:v>
                </c:pt>
                <c:pt idx="11">
                  <c:v>8.8110835552215594</c:v>
                </c:pt>
                <c:pt idx="12">
                  <c:v>9.7427498102188093</c:v>
                </c:pt>
                <c:pt idx="13">
                  <c:v>9.5660669207573008</c:v>
                </c:pt>
                <c:pt idx="14">
                  <c:v>9.7044425010681206</c:v>
                </c:pt>
                <c:pt idx="15">
                  <c:v>10.804390549659701</c:v>
                </c:pt>
                <c:pt idx="16">
                  <c:v>11.6822164058685</c:v>
                </c:pt>
                <c:pt idx="17">
                  <c:v>12.04082179069505</c:v>
                </c:pt>
                <c:pt idx="18">
                  <c:v>11.663025528192501</c:v>
                </c:pt>
                <c:pt idx="19">
                  <c:v>10.937958717346101</c:v>
                </c:pt>
                <c:pt idx="20">
                  <c:v>11.366245090961421</c:v>
                </c:pt>
                <c:pt idx="21">
                  <c:v>11.5969709157943</c:v>
                </c:pt>
                <c:pt idx="22">
                  <c:v>10.4481682181358</c:v>
                </c:pt>
                <c:pt idx="23">
                  <c:v>10.1490693688392</c:v>
                </c:pt>
                <c:pt idx="24">
                  <c:v>9.7219417095183989</c:v>
                </c:pt>
                <c:pt idx="25">
                  <c:v>9.6880884766578639</c:v>
                </c:pt>
                <c:pt idx="26">
                  <c:v>8.5457472801208496</c:v>
                </c:pt>
                <c:pt idx="27">
                  <c:v>8.1683585047721436</c:v>
                </c:pt>
                <c:pt idx="28">
                  <c:v>7.49079781770706</c:v>
                </c:pt>
                <c:pt idx="29">
                  <c:v>7.0776990056038116</c:v>
                </c:pt>
                <c:pt idx="30">
                  <c:v>6.8039922118186986</c:v>
                </c:pt>
                <c:pt idx="31">
                  <c:v>6.8833368718623946</c:v>
                </c:pt>
                <c:pt idx="32">
                  <c:v>7.4946035593748102</c:v>
                </c:pt>
                <c:pt idx="33">
                  <c:v>7.0474895834922799</c:v>
                </c:pt>
                <c:pt idx="34">
                  <c:v>6.5392239093780651</c:v>
                </c:pt>
              </c:numCache>
            </c:numRef>
          </c:val>
        </c:ser>
        <c:dLbls>
          <c:showLegendKey val="0"/>
          <c:showVal val="0"/>
          <c:showCatName val="0"/>
          <c:showSerName val="0"/>
          <c:showPercent val="0"/>
          <c:showBubbleSize val="0"/>
        </c:dLbls>
        <c:gapWidth val="50"/>
        <c:axId val="149861504"/>
        <c:axId val="149851520"/>
      </c:barChart>
      <c:lineChart>
        <c:grouping val="standard"/>
        <c:varyColors val="0"/>
        <c:ser>
          <c:idx val="1"/>
          <c:order val="1"/>
          <c:tx>
            <c:strRef>
              <c:f>'по странам'!$A$5</c:f>
              <c:strCache>
                <c:ptCount val="1"/>
                <c:pt idx="0">
                  <c:v>Добыча, тыс. барр. в сутки</c:v>
                </c:pt>
              </c:strCache>
            </c:strRef>
          </c:tx>
          <c:spPr>
            <a:ln>
              <a:solidFill>
                <a:srgbClr val="002060"/>
              </a:solidFill>
            </a:ln>
          </c:spPr>
          <c:marker>
            <c:symbol val="none"/>
          </c:marker>
          <c:cat>
            <c:numRef>
              <c:f>'по странам'!$B$3:$AJ$3</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'по странам'!$B$178:$AJ$178</c:f>
              <c:numCache>
                <c:formatCode>[&gt;=0.05]0.0;[=0]\-;\^</c:formatCode>
                <c:ptCount val="35"/>
                <c:pt idx="0">
                  <c:v>528</c:v>
                </c:pt>
                <c:pt idx="1">
                  <c:v>512</c:v>
                </c:pt>
                <c:pt idx="2">
                  <c:v>532</c:v>
                </c:pt>
                <c:pt idx="3">
                  <c:v>661</c:v>
                </c:pt>
                <c:pt idx="4">
                  <c:v>752</c:v>
                </c:pt>
                <c:pt idx="5">
                  <c:v>823</c:v>
                </c:pt>
                <c:pt idx="6">
                  <c:v>907</c:v>
                </c:pt>
                <c:pt idx="7">
                  <c:v>1054</c:v>
                </c:pt>
                <c:pt idx="8">
                  <c:v>1196</c:v>
                </c:pt>
                <c:pt idx="9">
                  <c:v>1567</c:v>
                </c:pt>
                <c:pt idx="10">
                  <c:v>1716</c:v>
                </c:pt>
                <c:pt idx="11">
                  <c:v>1955</c:v>
                </c:pt>
                <c:pt idx="12">
                  <c:v>2217</c:v>
                </c:pt>
                <c:pt idx="13">
                  <c:v>2377</c:v>
                </c:pt>
                <c:pt idx="14">
                  <c:v>2693</c:v>
                </c:pt>
                <c:pt idx="15">
                  <c:v>2903</c:v>
                </c:pt>
                <c:pt idx="16">
                  <c:v>3232</c:v>
                </c:pt>
                <c:pt idx="17">
                  <c:v>3280</c:v>
                </c:pt>
                <c:pt idx="18">
                  <c:v>3138</c:v>
                </c:pt>
                <c:pt idx="19">
                  <c:v>3139</c:v>
                </c:pt>
                <c:pt idx="20">
                  <c:v>3346</c:v>
                </c:pt>
                <c:pt idx="21">
                  <c:v>3418</c:v>
                </c:pt>
                <c:pt idx="22">
                  <c:v>3333</c:v>
                </c:pt>
                <c:pt idx="23">
                  <c:v>3264</c:v>
                </c:pt>
                <c:pt idx="24">
                  <c:v>3179.8602217965499</c:v>
                </c:pt>
                <c:pt idx="25">
                  <c:v>2960.9327157569301</c:v>
                </c:pt>
                <c:pt idx="26">
                  <c:v>2772.2383934414302</c:v>
                </c:pt>
                <c:pt idx="27">
                  <c:v>2550.5965776992002</c:v>
                </c:pt>
                <c:pt idx="28">
                  <c:v>2466.2907135492678</c:v>
                </c:pt>
                <c:pt idx="29">
                  <c:v>2349.2022831063032</c:v>
                </c:pt>
                <c:pt idx="30">
                  <c:v>2136.4498138074782</c:v>
                </c:pt>
                <c:pt idx="31">
                  <c:v>2040.14186877167</c:v>
                </c:pt>
                <c:pt idx="32">
                  <c:v>1916.99944468526</c:v>
                </c:pt>
                <c:pt idx="33">
                  <c:v>1837.9603311266701</c:v>
                </c:pt>
                <c:pt idx="34">
                  <c:v>1894.73423078364</c:v>
                </c:pt>
              </c:numCache>
            </c:numRef>
          </c:val>
          <c:smooth val="0"/>
        </c:ser>
        <c:ser>
          <c:idx val="2"/>
          <c:order val="2"/>
          <c:tx>
            <c:strRef>
              <c:f>'по странам'!$A$6</c:f>
              <c:strCache>
                <c:ptCount val="1"/>
                <c:pt idx="0">
                  <c:v>Потребление, тыс. барр. в сутки</c:v>
                </c:pt>
              </c:strCache>
            </c:strRef>
          </c:tx>
          <c:spPr>
            <a:ln>
              <a:solidFill>
                <a:srgbClr val="FF0000"/>
              </a:solidFill>
            </a:ln>
          </c:spPr>
          <c:marker>
            <c:symbol val="none"/>
          </c:marker>
          <c:cat>
            <c:numRef>
              <c:f>'по странам'!$B$3:$AJ$3</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'по странам'!$B$179:$AJ$179</c:f>
              <c:numCache>
                <c:formatCode>General</c:formatCode>
                <c:ptCount val="35"/>
                <c:pt idx="0">
                  <c:v>199.02221311475401</c:v>
                </c:pt>
                <c:pt idx="1">
                  <c:v>186.555835616438</c:v>
                </c:pt>
                <c:pt idx="2">
                  <c:v>180.31986301369801</c:v>
                </c:pt>
                <c:pt idx="3">
                  <c:v>176.334</c:v>
                </c:pt>
                <c:pt idx="4">
                  <c:v>185.62172131147551</c:v>
                </c:pt>
                <c:pt idx="5">
                  <c:v>195.387479452055</c:v>
                </c:pt>
                <c:pt idx="6">
                  <c:v>206.08057534246501</c:v>
                </c:pt>
                <c:pt idx="7">
                  <c:v>209.47268493150551</c:v>
                </c:pt>
                <c:pt idx="8">
                  <c:v>196.52565573770369</c:v>
                </c:pt>
                <c:pt idx="9">
                  <c:v>197.99109589041001</c:v>
                </c:pt>
                <c:pt idx="10">
                  <c:v>202.26556164383439</c:v>
                </c:pt>
                <c:pt idx="11">
                  <c:v>187.601287671232</c:v>
                </c:pt>
                <c:pt idx="12">
                  <c:v>192.20538251366099</c:v>
                </c:pt>
                <c:pt idx="13">
                  <c:v>205.15117808219139</c:v>
                </c:pt>
                <c:pt idx="14">
                  <c:v>208.20717808219101</c:v>
                </c:pt>
                <c:pt idx="15">
                  <c:v>204.079397260273</c:v>
                </c:pt>
                <c:pt idx="16">
                  <c:v>216.9753551912552</c:v>
                </c:pt>
                <c:pt idx="17">
                  <c:v>220.45405479451941</c:v>
                </c:pt>
                <c:pt idx="18">
                  <c:v>221.644369863013</c:v>
                </c:pt>
                <c:pt idx="19">
                  <c:v>218.89805479451951</c:v>
                </c:pt>
                <c:pt idx="20">
                  <c:v>201.55051912568351</c:v>
                </c:pt>
                <c:pt idx="21">
                  <c:v>223.27309589040951</c:v>
                </c:pt>
                <c:pt idx="22">
                  <c:v>215.52594520547899</c:v>
                </c:pt>
                <c:pt idx="23">
                  <c:v>231.62473972602689</c:v>
                </c:pt>
                <c:pt idx="24">
                  <c:v>220.94167740419499</c:v>
                </c:pt>
                <c:pt idx="25">
                  <c:v>223.668928780877</c:v>
                </c:pt>
                <c:pt idx="26">
                  <c:v>229.17165193061189</c:v>
                </c:pt>
                <c:pt idx="27">
                  <c:v>237.4752068144366</c:v>
                </c:pt>
                <c:pt idx="28">
                  <c:v>227.59284578767961</c:v>
                </c:pt>
                <c:pt idx="29">
                  <c:v>235.923972483836</c:v>
                </c:pt>
                <c:pt idx="30">
                  <c:v>234.98298630136961</c:v>
                </c:pt>
                <c:pt idx="31">
                  <c:v>239.045044432411</c:v>
                </c:pt>
                <c:pt idx="32">
                  <c:v>235.45953965539351</c:v>
                </c:pt>
                <c:pt idx="33">
                  <c:v>243.22893025323239</c:v>
                </c:pt>
                <c:pt idx="34">
                  <c:v>237.5522348731221</c:v>
                </c:pt>
              </c:numCache>
            </c:numRef>
          </c:val>
          <c:smooth val="0"/>
        </c:ser>
        <c:dLbls>
          <c:showLegendKey val="0"/>
          <c:showVal val="0"/>
          <c:showCatName val="0"/>
          <c:showSerName val="0"/>
          <c:showPercent val="0"/>
          <c:showBubbleSize val="0"/>
        </c:dLbls>
        <c:marker val="1"/>
        <c:smooth val="0"/>
        <c:axId val="149848448"/>
        <c:axId val="149849984"/>
      </c:lineChart>
      <c:catAx>
        <c:axId val="149848448"/>
        <c:scaling>
          <c:orientation val="minMax"/>
        </c:scaling>
        <c:delete val="0"/>
        <c:axPos val="b"/>
        <c:numFmt formatCode="General" sourceLinked="1"/>
        <c:majorTickMark val="out"/>
        <c:minorTickMark val="none"/>
        <c:tickLblPos val="nextTo"/>
        <c:crossAx val="149849984"/>
        <c:crosses val="autoZero"/>
        <c:auto val="1"/>
        <c:lblAlgn val="ctr"/>
        <c:lblOffset val="100"/>
        <c:tickLblSkip val="2"/>
        <c:noMultiLvlLbl val="0"/>
      </c:catAx>
      <c:valAx>
        <c:axId val="149849984"/>
        <c:scaling>
          <c:orientation val="minMax"/>
        </c:scaling>
        <c:delete val="0"/>
        <c:axPos val="l"/>
        <c:numFmt formatCode="#,##0" sourceLinked="0"/>
        <c:majorTickMark val="out"/>
        <c:minorTickMark val="none"/>
        <c:tickLblPos val="nextTo"/>
        <c:crossAx val="149848448"/>
        <c:crosses val="autoZero"/>
        <c:crossBetween val="between"/>
      </c:valAx>
      <c:valAx>
        <c:axId val="149851520"/>
        <c:scaling>
          <c:orientation val="minMax"/>
          <c:max val="20"/>
        </c:scaling>
        <c:delete val="0"/>
        <c:axPos val="r"/>
        <c:numFmt formatCode="General" sourceLinked="1"/>
        <c:majorTickMark val="out"/>
        <c:minorTickMark val="none"/>
        <c:tickLblPos val="nextTo"/>
        <c:crossAx val="149861504"/>
        <c:crosses val="max"/>
        <c:crossBetween val="between"/>
        <c:majorUnit val="5"/>
      </c:valAx>
      <c:catAx>
        <c:axId val="149861504"/>
        <c:scaling>
          <c:orientation val="minMax"/>
        </c:scaling>
        <c:delete val="1"/>
        <c:axPos val="b"/>
        <c:numFmt formatCode="General" sourceLinked="1"/>
        <c:majorTickMark val="out"/>
        <c:minorTickMark val="none"/>
        <c:tickLblPos val="none"/>
        <c:crossAx val="149851520"/>
        <c:crosses val="autoZero"/>
        <c:auto val="1"/>
        <c:lblAlgn val="ctr"/>
        <c:lblOffset val="100"/>
        <c:noMultiLvlLbl val="0"/>
      </c:catAx>
    </c:plotArea>
    <c:legend>
      <c:legendPos val="r"/>
      <c:layout>
        <c:manualLayout>
          <c:xMode val="edge"/>
          <c:yMode val="edge"/>
          <c:x val="7.3321298252352604E-2"/>
          <c:y val="2.7201808107320299E-2"/>
          <c:w val="0.38693864496227398"/>
          <c:h val="0.21874416739574401"/>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0.25293</cdr:x>
      <cdr:y>0.71886</cdr:y>
    </cdr:from>
    <cdr:to>
      <cdr:x>0.45293</cdr:x>
      <cdr:y>0.81331</cdr:y>
    </cdr:to>
    <cdr:sp macro="" textlink="">
      <cdr:nvSpPr>
        <cdr:cNvPr id="2" name="TextBox 1"/>
        <cdr:cNvSpPr txBox="1"/>
      </cdr:nvSpPr>
      <cdr:spPr>
        <a:xfrm xmlns:a="http://schemas.openxmlformats.org/drawingml/2006/main">
          <a:off x="1589148" y="1284777"/>
          <a:ext cx="1256608" cy="16880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a:latin typeface="Times New Roman" pitchFamily="18" charset="0"/>
              <a:cs typeface="Times New Roman" pitchFamily="18" charset="0"/>
            </a:rPr>
            <a:t>С.</a:t>
          </a:r>
          <a:r>
            <a:rPr lang="ru-RU" sz="1000" baseline="0">
              <a:latin typeface="Times New Roman" pitchFamily="18" charset="0"/>
              <a:cs typeface="Times New Roman" pitchFamily="18" charset="0"/>
            </a:rPr>
            <a:t> Аравия</a:t>
          </a:r>
          <a:endParaRPr lang="ru-RU" sz="1000">
            <a:latin typeface="Times New Roman" pitchFamily="18" charset="0"/>
            <a:cs typeface="Times New Roman" pitchFamily="18" charset="0"/>
          </a:endParaRPr>
        </a:p>
      </cdr:txBody>
    </cdr:sp>
  </cdr:relSizeAnchor>
  <cdr:relSizeAnchor xmlns:cdr="http://schemas.openxmlformats.org/drawingml/2006/chartDrawing">
    <cdr:from>
      <cdr:x>0.35221</cdr:x>
      <cdr:y>0.89722</cdr:y>
    </cdr:from>
    <cdr:to>
      <cdr:x>0.62734</cdr:x>
      <cdr:y>1</cdr:y>
    </cdr:to>
    <cdr:sp macro="" textlink="">
      <cdr:nvSpPr>
        <cdr:cNvPr id="3" name="TextBox 2"/>
        <cdr:cNvSpPr txBox="1"/>
      </cdr:nvSpPr>
      <cdr:spPr>
        <a:xfrm xmlns:a="http://schemas.openxmlformats.org/drawingml/2006/main">
          <a:off x="2212950" y="2038615"/>
          <a:ext cx="1728668" cy="23353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a:latin typeface="Times New Roman" pitchFamily="18" charset="0"/>
              <a:cs typeface="Times New Roman" pitchFamily="18" charset="0"/>
            </a:rPr>
            <a:t>налоговые выплаты к прибыли компаний *, %</a:t>
          </a:r>
        </a:p>
      </cdr:txBody>
    </cdr:sp>
  </cdr:relSizeAnchor>
  <cdr:relSizeAnchor xmlns:cdr="http://schemas.openxmlformats.org/drawingml/2006/chartDrawing">
    <cdr:from>
      <cdr:x>0</cdr:x>
      <cdr:y>0.07317</cdr:y>
    </cdr:from>
    <cdr:to>
      <cdr:x>0.07</cdr:x>
      <cdr:y>0.96512</cdr:y>
    </cdr:to>
    <cdr:sp macro="" textlink="">
      <cdr:nvSpPr>
        <cdr:cNvPr id="4" name="TextBox 3"/>
        <cdr:cNvSpPr txBox="1"/>
      </cdr:nvSpPr>
      <cdr:spPr>
        <a:xfrm xmlns:a="http://schemas.openxmlformats.org/drawingml/2006/main">
          <a:off x="0" y="130772"/>
          <a:ext cx="439813" cy="1594119"/>
        </a:xfrm>
        <a:prstGeom xmlns:a="http://schemas.openxmlformats.org/drawingml/2006/main" prst="rect">
          <a:avLst/>
        </a:prstGeom>
      </cdr:spPr>
      <cdr:txBody>
        <a:bodyPr xmlns:a="http://schemas.openxmlformats.org/drawingml/2006/main" vertOverflow="clip" vert="vert270" wrap="none" rtlCol="0"/>
        <a:lstStyle xmlns:a="http://schemas.openxmlformats.org/drawingml/2006/main"/>
        <a:p xmlns:a="http://schemas.openxmlformats.org/drawingml/2006/main">
          <a:r>
            <a:rPr lang="ru-RU" sz="1000">
              <a:latin typeface="Times New Roman" pitchFamily="18" charset="0"/>
              <a:cs typeface="Times New Roman" pitchFamily="18" charset="0"/>
            </a:rPr>
            <a:t>налоговые выплаты к ВВП,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Другая 7">
    <a:dk1>
      <a:srgbClr val="062328"/>
    </a:dk1>
    <a:lt1>
      <a:sysClr val="window" lastClr="FFFFFF"/>
    </a:lt1>
    <a:dk2>
      <a:srgbClr val="04617B"/>
    </a:dk2>
    <a:lt2>
      <a:srgbClr val="157B8C"/>
    </a:lt2>
    <a:accent1>
      <a:srgbClr val="157B8C"/>
    </a:accent1>
    <a:accent2>
      <a:srgbClr val="157B8C"/>
    </a:accent2>
    <a:accent3>
      <a:srgbClr val="157B8C"/>
    </a:accent3>
    <a:accent4>
      <a:srgbClr val="10CF9B"/>
    </a:accent4>
    <a:accent5>
      <a:srgbClr val="7CCA62"/>
    </a:accent5>
    <a:accent6>
      <a:srgbClr val="A5C249"/>
    </a:accent6>
    <a:hlink>
      <a:srgbClr val="E2D700"/>
    </a:hlink>
    <a:folHlink>
      <a:srgbClr val="85DFD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032A4-E936-4D53-BDF3-6A77EE1B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73</Pages>
  <Words>25661</Words>
  <Characters>146272</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LUKOIL</Company>
  <LinksUpToDate>false</LinksUpToDate>
  <CharactersWithSpaces>171590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Goryacheva, Anna</dc:creator>
  <cp:lastModifiedBy>Администратор</cp:lastModifiedBy>
  <cp:revision>12</cp:revision>
  <cp:lastPrinted>2015-10-02T13:10:00Z</cp:lastPrinted>
  <dcterms:created xsi:type="dcterms:W3CDTF">2015-10-12T08:30:00Z</dcterms:created>
  <dcterms:modified xsi:type="dcterms:W3CDTF">2015-10-12T09:14:00Z</dcterms:modified>
</cp:coreProperties>
</file>