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jc w:val="center"/>
        <w:tblLook w:val="04A0" w:firstRow="1" w:lastRow="0" w:firstColumn="1" w:lastColumn="0" w:noHBand="0" w:noVBand="1"/>
      </w:tblPr>
      <w:tblGrid>
        <w:gridCol w:w="3510"/>
        <w:gridCol w:w="6452"/>
      </w:tblGrid>
      <w:tr w:rsidR="00D601EF" w:rsidRPr="006F41A6" w14:paraId="71281B9C" w14:textId="77777777" w:rsidTr="005F0478">
        <w:trPr>
          <w:jc w:val="center"/>
        </w:trPr>
        <w:tc>
          <w:tcPr>
            <w:tcW w:w="9962" w:type="dxa"/>
            <w:gridSpan w:val="2"/>
            <w:shd w:val="clear" w:color="auto" w:fill="F2F2F2" w:themeFill="background1" w:themeFillShade="F2"/>
            <w:tcMar>
              <w:top w:w="28" w:type="dxa"/>
              <w:bottom w:w="28" w:type="dxa"/>
            </w:tcMar>
          </w:tcPr>
          <w:p w14:paraId="6E453C53" w14:textId="77777777" w:rsidR="00D601EF" w:rsidRPr="006F41A6" w:rsidRDefault="00D601EF" w:rsidP="00D601EF">
            <w:pPr>
              <w:jc w:val="center"/>
              <w:rPr>
                <w:rFonts w:ascii="Times New Roman" w:hAnsi="Times New Roman" w:cs="Times New Roman"/>
                <w:b/>
                <w:sz w:val="24"/>
                <w:szCs w:val="20"/>
              </w:rPr>
            </w:pPr>
            <w:bookmarkStart w:id="0" w:name="_GoBack"/>
            <w:bookmarkEnd w:id="0"/>
            <w:r w:rsidRPr="006F41A6">
              <w:rPr>
                <w:rFonts w:ascii="Times New Roman" w:hAnsi="Times New Roman" w:cs="Times New Roman"/>
                <w:b/>
                <w:sz w:val="24"/>
                <w:szCs w:val="20"/>
              </w:rPr>
              <w:t>По возможности, укажите:</w:t>
            </w:r>
          </w:p>
        </w:tc>
      </w:tr>
      <w:tr w:rsidR="00D601EF" w:rsidRPr="006F41A6" w14:paraId="39694C6C" w14:textId="77777777" w:rsidTr="005F0478">
        <w:trPr>
          <w:jc w:val="center"/>
        </w:trPr>
        <w:tc>
          <w:tcPr>
            <w:tcW w:w="3510" w:type="dxa"/>
            <w:shd w:val="clear" w:color="auto" w:fill="F2F2F2" w:themeFill="background1" w:themeFillShade="F2"/>
            <w:tcMar>
              <w:top w:w="28" w:type="dxa"/>
              <w:bottom w:w="28" w:type="dxa"/>
            </w:tcMar>
          </w:tcPr>
          <w:p w14:paraId="2AB81966" w14:textId="77777777" w:rsidR="00D601EF" w:rsidRPr="006F41A6" w:rsidRDefault="00D601EF" w:rsidP="00D601EF">
            <w:pPr>
              <w:rPr>
                <w:rFonts w:ascii="Times New Roman" w:hAnsi="Times New Roman" w:cs="Times New Roman"/>
                <w:sz w:val="24"/>
                <w:szCs w:val="20"/>
              </w:rPr>
            </w:pPr>
            <w:r w:rsidRPr="006F41A6">
              <w:rPr>
                <w:rFonts w:ascii="Times New Roman" w:hAnsi="Times New Roman" w:cs="Times New Roman"/>
                <w:sz w:val="24"/>
                <w:szCs w:val="20"/>
              </w:rPr>
              <w:t>Наименование организации:</w:t>
            </w:r>
          </w:p>
        </w:tc>
        <w:tc>
          <w:tcPr>
            <w:tcW w:w="6452" w:type="dxa"/>
            <w:shd w:val="clear" w:color="auto" w:fill="auto"/>
            <w:tcMar>
              <w:top w:w="28" w:type="dxa"/>
              <w:bottom w:w="28" w:type="dxa"/>
            </w:tcMar>
            <w:vAlign w:val="center"/>
          </w:tcPr>
          <w:p w14:paraId="73B31CEB" w14:textId="66ED27B1" w:rsidR="00051FC8" w:rsidRPr="006F41A6" w:rsidRDefault="0068656A" w:rsidP="00D601EF">
            <w:pPr>
              <w:rPr>
                <w:rFonts w:ascii="Times New Roman" w:hAnsi="Times New Roman" w:cs="Times New Roman"/>
                <w:sz w:val="24"/>
                <w:szCs w:val="20"/>
              </w:rPr>
            </w:pPr>
            <w:r w:rsidRPr="006F41A6">
              <w:rPr>
                <w:rFonts w:ascii="Times New Roman" w:hAnsi="Times New Roman" w:cs="Times New Roman"/>
                <w:sz w:val="24"/>
                <w:szCs w:val="20"/>
              </w:rPr>
              <w:t>РСПП</w:t>
            </w:r>
          </w:p>
        </w:tc>
      </w:tr>
      <w:tr w:rsidR="00D601EF" w:rsidRPr="006F41A6" w14:paraId="22A00A9A" w14:textId="77777777" w:rsidTr="005F0478">
        <w:trPr>
          <w:jc w:val="center"/>
        </w:trPr>
        <w:tc>
          <w:tcPr>
            <w:tcW w:w="3510" w:type="dxa"/>
            <w:shd w:val="clear" w:color="auto" w:fill="F2F2F2" w:themeFill="background1" w:themeFillShade="F2"/>
            <w:tcMar>
              <w:top w:w="28" w:type="dxa"/>
              <w:bottom w:w="28" w:type="dxa"/>
            </w:tcMar>
          </w:tcPr>
          <w:p w14:paraId="17A59830" w14:textId="77777777" w:rsidR="00D601EF" w:rsidRPr="006F41A6" w:rsidRDefault="00D601EF" w:rsidP="00D601EF">
            <w:pPr>
              <w:rPr>
                <w:rFonts w:ascii="Times New Roman" w:hAnsi="Times New Roman" w:cs="Times New Roman"/>
                <w:sz w:val="24"/>
                <w:szCs w:val="20"/>
              </w:rPr>
            </w:pPr>
            <w:r w:rsidRPr="006F41A6">
              <w:rPr>
                <w:rFonts w:ascii="Times New Roman" w:hAnsi="Times New Roman" w:cs="Times New Roman"/>
                <w:sz w:val="24"/>
                <w:szCs w:val="20"/>
              </w:rPr>
              <w:t>Сферу деятельности организации:</w:t>
            </w:r>
          </w:p>
        </w:tc>
        <w:tc>
          <w:tcPr>
            <w:tcW w:w="6452" w:type="dxa"/>
            <w:shd w:val="clear" w:color="auto" w:fill="auto"/>
            <w:tcMar>
              <w:top w:w="28" w:type="dxa"/>
              <w:bottom w:w="28" w:type="dxa"/>
            </w:tcMar>
            <w:vAlign w:val="center"/>
          </w:tcPr>
          <w:p w14:paraId="46CC31D1" w14:textId="33189D46" w:rsidR="00D601EF" w:rsidRPr="006F41A6" w:rsidRDefault="00D601EF" w:rsidP="00D601EF">
            <w:pPr>
              <w:rPr>
                <w:rFonts w:ascii="Times New Roman" w:hAnsi="Times New Roman" w:cs="Times New Roman"/>
                <w:sz w:val="24"/>
                <w:szCs w:val="20"/>
              </w:rPr>
            </w:pPr>
          </w:p>
        </w:tc>
      </w:tr>
      <w:tr w:rsidR="00D601EF" w:rsidRPr="006F41A6" w14:paraId="4824C7C3" w14:textId="77777777" w:rsidTr="005F0478">
        <w:trPr>
          <w:jc w:val="center"/>
        </w:trPr>
        <w:tc>
          <w:tcPr>
            <w:tcW w:w="3510" w:type="dxa"/>
            <w:shd w:val="clear" w:color="auto" w:fill="F2F2F2" w:themeFill="background1" w:themeFillShade="F2"/>
            <w:tcMar>
              <w:top w:w="28" w:type="dxa"/>
              <w:bottom w:w="28" w:type="dxa"/>
            </w:tcMar>
          </w:tcPr>
          <w:p w14:paraId="70C36A18" w14:textId="77777777" w:rsidR="00D601EF" w:rsidRPr="006F41A6" w:rsidRDefault="00D601EF" w:rsidP="00D601EF">
            <w:pPr>
              <w:rPr>
                <w:rFonts w:ascii="Times New Roman" w:hAnsi="Times New Roman" w:cs="Times New Roman"/>
                <w:sz w:val="24"/>
                <w:szCs w:val="20"/>
              </w:rPr>
            </w:pPr>
            <w:r w:rsidRPr="006F41A6">
              <w:rPr>
                <w:rFonts w:ascii="Times New Roman" w:hAnsi="Times New Roman" w:cs="Times New Roman"/>
                <w:sz w:val="24"/>
                <w:szCs w:val="20"/>
              </w:rPr>
              <w:t>Ф.И.О. контактного лица:</w:t>
            </w:r>
          </w:p>
        </w:tc>
        <w:tc>
          <w:tcPr>
            <w:tcW w:w="6452" w:type="dxa"/>
            <w:shd w:val="clear" w:color="auto" w:fill="auto"/>
            <w:tcMar>
              <w:top w:w="28" w:type="dxa"/>
              <w:bottom w:w="28" w:type="dxa"/>
            </w:tcMar>
            <w:vAlign w:val="center"/>
          </w:tcPr>
          <w:p w14:paraId="13CA04BF" w14:textId="586674C4" w:rsidR="00D601EF" w:rsidRPr="006F41A6" w:rsidRDefault="00BE2784" w:rsidP="00D601EF">
            <w:pPr>
              <w:rPr>
                <w:rFonts w:ascii="Times New Roman" w:hAnsi="Times New Roman" w:cs="Times New Roman"/>
                <w:sz w:val="24"/>
                <w:szCs w:val="20"/>
              </w:rPr>
            </w:pPr>
            <w:r w:rsidRPr="00BE2784">
              <w:rPr>
                <w:rFonts w:ascii="Times New Roman" w:hAnsi="Times New Roman" w:cs="Times New Roman"/>
                <w:sz w:val="24"/>
                <w:szCs w:val="20"/>
              </w:rPr>
              <w:t>Денисова Анастасия Владимировна</w:t>
            </w:r>
          </w:p>
        </w:tc>
      </w:tr>
      <w:tr w:rsidR="00D601EF" w:rsidRPr="006F41A6" w14:paraId="65FC8859" w14:textId="77777777" w:rsidTr="005F0478">
        <w:trPr>
          <w:jc w:val="center"/>
        </w:trPr>
        <w:tc>
          <w:tcPr>
            <w:tcW w:w="3510" w:type="dxa"/>
            <w:shd w:val="clear" w:color="auto" w:fill="F2F2F2" w:themeFill="background1" w:themeFillShade="F2"/>
            <w:tcMar>
              <w:top w:w="28" w:type="dxa"/>
              <w:bottom w:w="28" w:type="dxa"/>
            </w:tcMar>
          </w:tcPr>
          <w:p w14:paraId="46105C68" w14:textId="77777777" w:rsidR="00D601EF" w:rsidRPr="006F41A6" w:rsidRDefault="00D601EF" w:rsidP="00D601EF">
            <w:pPr>
              <w:rPr>
                <w:rFonts w:ascii="Times New Roman" w:hAnsi="Times New Roman" w:cs="Times New Roman"/>
                <w:sz w:val="24"/>
                <w:szCs w:val="20"/>
              </w:rPr>
            </w:pPr>
            <w:r w:rsidRPr="006F41A6">
              <w:rPr>
                <w:rFonts w:ascii="Times New Roman" w:hAnsi="Times New Roman" w:cs="Times New Roman"/>
                <w:sz w:val="24"/>
                <w:szCs w:val="20"/>
              </w:rPr>
              <w:t>Номер телефона:</w:t>
            </w:r>
          </w:p>
        </w:tc>
        <w:tc>
          <w:tcPr>
            <w:tcW w:w="6452" w:type="dxa"/>
            <w:shd w:val="clear" w:color="auto" w:fill="auto"/>
            <w:tcMar>
              <w:top w:w="28" w:type="dxa"/>
              <w:bottom w:w="28" w:type="dxa"/>
            </w:tcMar>
            <w:vAlign w:val="center"/>
          </w:tcPr>
          <w:p w14:paraId="7CB5D014" w14:textId="79AEA78A" w:rsidR="00D601EF" w:rsidRPr="006F41A6" w:rsidRDefault="00BE2784" w:rsidP="00D601EF">
            <w:pPr>
              <w:rPr>
                <w:rFonts w:ascii="Times New Roman" w:hAnsi="Times New Roman" w:cs="Times New Roman"/>
                <w:sz w:val="24"/>
                <w:szCs w:val="20"/>
              </w:rPr>
            </w:pPr>
            <w:r>
              <w:rPr>
                <w:rFonts w:ascii="Times New Roman" w:hAnsi="Times New Roman" w:cs="Times New Roman"/>
                <w:sz w:val="24"/>
                <w:szCs w:val="20"/>
              </w:rPr>
              <w:t>495 663-04-04</w:t>
            </w:r>
          </w:p>
        </w:tc>
      </w:tr>
      <w:tr w:rsidR="00D601EF" w:rsidRPr="006F41A6" w14:paraId="4AC805AE" w14:textId="77777777" w:rsidTr="005F0478">
        <w:trPr>
          <w:jc w:val="center"/>
        </w:trPr>
        <w:tc>
          <w:tcPr>
            <w:tcW w:w="3510" w:type="dxa"/>
            <w:shd w:val="clear" w:color="auto" w:fill="F2F2F2" w:themeFill="background1" w:themeFillShade="F2"/>
            <w:tcMar>
              <w:top w:w="28" w:type="dxa"/>
              <w:bottom w:w="28" w:type="dxa"/>
            </w:tcMar>
          </w:tcPr>
          <w:p w14:paraId="2407AC8E" w14:textId="77777777" w:rsidR="00D601EF" w:rsidRPr="006F41A6" w:rsidRDefault="00D601EF" w:rsidP="00D601EF">
            <w:pPr>
              <w:rPr>
                <w:rFonts w:ascii="Times New Roman" w:hAnsi="Times New Roman" w:cs="Times New Roman"/>
                <w:sz w:val="24"/>
                <w:szCs w:val="20"/>
              </w:rPr>
            </w:pPr>
            <w:r w:rsidRPr="006F41A6">
              <w:rPr>
                <w:rFonts w:ascii="Times New Roman" w:hAnsi="Times New Roman" w:cs="Times New Roman"/>
                <w:sz w:val="24"/>
                <w:szCs w:val="20"/>
              </w:rPr>
              <w:t>Адрес электронной почты:</w:t>
            </w:r>
          </w:p>
        </w:tc>
        <w:tc>
          <w:tcPr>
            <w:tcW w:w="6452" w:type="dxa"/>
            <w:shd w:val="clear" w:color="auto" w:fill="auto"/>
            <w:tcMar>
              <w:top w:w="28" w:type="dxa"/>
              <w:bottom w:w="28" w:type="dxa"/>
            </w:tcMar>
            <w:vAlign w:val="center"/>
          </w:tcPr>
          <w:p w14:paraId="55737E7B" w14:textId="0EA9CE04" w:rsidR="00D601EF" w:rsidRPr="00BE2784" w:rsidRDefault="00F91DA0" w:rsidP="00D601EF">
            <w:pPr>
              <w:rPr>
                <w:rFonts w:ascii="Times New Roman" w:hAnsi="Times New Roman" w:cs="Times New Roman"/>
                <w:sz w:val="24"/>
                <w:szCs w:val="20"/>
                <w:lang w:val="en-US"/>
              </w:rPr>
            </w:pPr>
            <w:hyperlink r:id="rId9" w:history="1">
              <w:r w:rsidRPr="00645EB2">
                <w:rPr>
                  <w:rStyle w:val="ab"/>
                  <w:rFonts w:ascii="Times New Roman" w:hAnsi="Times New Roman" w:cs="Times New Roman"/>
                  <w:sz w:val="24"/>
                  <w:szCs w:val="20"/>
                  <w:lang w:val="en-US"/>
                </w:rPr>
                <w:t>denisovaav@rspp.ru</w:t>
              </w:r>
            </w:hyperlink>
            <w:r>
              <w:rPr>
                <w:rFonts w:ascii="Times New Roman" w:hAnsi="Times New Roman" w:cs="Times New Roman"/>
                <w:sz w:val="24"/>
                <w:szCs w:val="20"/>
                <w:lang w:val="en-US"/>
              </w:rPr>
              <w:t xml:space="preserve"> </w:t>
            </w:r>
          </w:p>
        </w:tc>
      </w:tr>
    </w:tbl>
    <w:p w14:paraId="768ECB9C" w14:textId="77777777" w:rsidR="00D55731" w:rsidRPr="006F41A6" w:rsidRDefault="000F4752" w:rsidP="00051FC8">
      <w:pPr>
        <w:spacing w:before="960" w:after="0" w:line="240" w:lineRule="auto"/>
        <w:jc w:val="center"/>
        <w:rPr>
          <w:rFonts w:ascii="Times New Roman" w:hAnsi="Times New Roman" w:cs="Times New Roman"/>
          <w:b/>
          <w:sz w:val="32"/>
          <w:szCs w:val="28"/>
        </w:rPr>
      </w:pPr>
      <w:r w:rsidRPr="006F41A6">
        <w:rPr>
          <w:rFonts w:ascii="Times New Roman" w:hAnsi="Times New Roman" w:cs="Times New Roman"/>
          <w:b/>
          <w:sz w:val="32"/>
          <w:szCs w:val="28"/>
        </w:rPr>
        <w:t>ПУБЛИЧНЫЕ КОНСУЛЬТАЦИИ</w:t>
      </w:r>
    </w:p>
    <w:p w14:paraId="5F2612FC" w14:textId="77777777" w:rsidR="00652F9D" w:rsidRPr="006F41A6" w:rsidRDefault="00D55731" w:rsidP="00D601EF">
      <w:pPr>
        <w:spacing w:after="360" w:line="240" w:lineRule="auto"/>
        <w:jc w:val="center"/>
        <w:rPr>
          <w:rFonts w:ascii="Times New Roman" w:hAnsi="Times New Roman" w:cs="Times New Roman"/>
          <w:sz w:val="28"/>
          <w:szCs w:val="28"/>
        </w:rPr>
      </w:pPr>
      <w:r w:rsidRPr="006F41A6">
        <w:rPr>
          <w:rFonts w:ascii="Times New Roman" w:hAnsi="Times New Roman" w:cs="Times New Roman"/>
          <w:sz w:val="28"/>
          <w:szCs w:val="28"/>
        </w:rPr>
        <w:t>по проекту акта в рамках проведения оценки регулирующего воздействия</w:t>
      </w:r>
    </w:p>
    <w:tbl>
      <w:tblPr>
        <w:tblStyle w:val="a9"/>
        <w:tblW w:w="0" w:type="auto"/>
        <w:jc w:val="center"/>
        <w:tblLook w:val="04A0" w:firstRow="1" w:lastRow="0" w:firstColumn="1" w:lastColumn="0" w:noHBand="0" w:noVBand="1"/>
      </w:tblPr>
      <w:tblGrid>
        <w:gridCol w:w="5070"/>
        <w:gridCol w:w="4892"/>
      </w:tblGrid>
      <w:tr w:rsidR="005A2E85" w:rsidRPr="006F41A6" w14:paraId="777361FD" w14:textId="77777777" w:rsidTr="005F0478">
        <w:trPr>
          <w:jc w:val="center"/>
        </w:trPr>
        <w:tc>
          <w:tcPr>
            <w:tcW w:w="5070" w:type="dxa"/>
            <w:shd w:val="clear" w:color="auto" w:fill="F2F2F2" w:themeFill="background1" w:themeFillShade="F2"/>
            <w:tcMar>
              <w:top w:w="57" w:type="dxa"/>
              <w:bottom w:w="57" w:type="dxa"/>
            </w:tcMar>
            <w:vAlign w:val="center"/>
          </w:tcPr>
          <w:p w14:paraId="52B33C5D" w14:textId="77777777" w:rsidR="005A2E85" w:rsidRPr="006F41A6" w:rsidRDefault="00067770" w:rsidP="004338CE">
            <w:pPr>
              <w:rPr>
                <w:rFonts w:ascii="Times New Roman" w:hAnsi="Times New Roman" w:cs="Times New Roman"/>
                <w:sz w:val="24"/>
                <w:szCs w:val="28"/>
              </w:rPr>
            </w:pPr>
            <w:r w:rsidRPr="006F41A6">
              <w:rPr>
                <w:rFonts w:ascii="Times New Roman" w:hAnsi="Times New Roman" w:cs="Times New Roman"/>
                <w:sz w:val="24"/>
                <w:szCs w:val="28"/>
              </w:rPr>
              <w:t>Срок направления информации</w:t>
            </w:r>
            <w:r w:rsidR="00B43F38" w:rsidRPr="006F41A6">
              <w:rPr>
                <w:rFonts w:ascii="Times New Roman" w:hAnsi="Times New Roman" w:cs="Times New Roman"/>
                <w:sz w:val="24"/>
                <w:szCs w:val="28"/>
              </w:rPr>
              <w:t xml:space="preserve"> </w:t>
            </w:r>
            <w:r w:rsidR="004338CE" w:rsidRPr="006F41A6">
              <w:rPr>
                <w:rFonts w:ascii="Times New Roman" w:hAnsi="Times New Roman" w:cs="Times New Roman"/>
                <w:sz w:val="24"/>
                <w:szCs w:val="28"/>
              </w:rPr>
              <w:t xml:space="preserve">– </w:t>
            </w:r>
            <w:r w:rsidR="005A2E85" w:rsidRPr="006F41A6">
              <w:rPr>
                <w:rFonts w:ascii="Times New Roman" w:hAnsi="Times New Roman" w:cs="Times New Roman"/>
                <w:sz w:val="24"/>
                <w:szCs w:val="28"/>
              </w:rPr>
              <w:t>не позднее</w:t>
            </w:r>
            <w:r w:rsidR="009D4D0D" w:rsidRPr="006F41A6">
              <w:rPr>
                <w:rFonts w:ascii="Times New Roman" w:hAnsi="Times New Roman" w:cs="Times New Roman"/>
                <w:sz w:val="24"/>
                <w:szCs w:val="28"/>
              </w:rPr>
              <w:t>:</w:t>
            </w:r>
          </w:p>
        </w:tc>
        <w:tc>
          <w:tcPr>
            <w:tcW w:w="4892" w:type="dxa"/>
            <w:tcMar>
              <w:top w:w="57" w:type="dxa"/>
              <w:bottom w:w="57" w:type="dxa"/>
            </w:tcMar>
            <w:vAlign w:val="center"/>
          </w:tcPr>
          <w:p w14:paraId="411FAE6D" w14:textId="77777777" w:rsidR="005A2E85" w:rsidRPr="006F41A6" w:rsidRDefault="00A44A75" w:rsidP="00467CAB">
            <w:pPr>
              <w:jc w:val="center"/>
              <w:rPr>
                <w:rFonts w:ascii="Times New Roman" w:hAnsi="Times New Roman" w:cs="Times New Roman"/>
                <w:b/>
                <w:sz w:val="26"/>
                <w:szCs w:val="26"/>
              </w:rPr>
            </w:pPr>
            <w:r w:rsidRPr="006F41A6">
              <w:rPr>
                <w:rFonts w:ascii="Times New Roman" w:hAnsi="Times New Roman" w:cs="Times New Roman"/>
                <w:b/>
                <w:sz w:val="26"/>
                <w:szCs w:val="26"/>
              </w:rPr>
              <w:t>2</w:t>
            </w:r>
            <w:r w:rsidR="00060E1D" w:rsidRPr="006F41A6">
              <w:rPr>
                <w:rFonts w:ascii="Times New Roman" w:hAnsi="Times New Roman" w:cs="Times New Roman"/>
                <w:b/>
                <w:sz w:val="26"/>
                <w:szCs w:val="26"/>
              </w:rPr>
              <w:t>9.12</w:t>
            </w:r>
            <w:r w:rsidR="00676FCD" w:rsidRPr="006F41A6">
              <w:rPr>
                <w:rFonts w:ascii="Times New Roman" w:hAnsi="Times New Roman" w:cs="Times New Roman"/>
                <w:b/>
                <w:sz w:val="26"/>
                <w:szCs w:val="26"/>
              </w:rPr>
              <w:t>.2018</w:t>
            </w:r>
            <w:r w:rsidR="00B64FC0" w:rsidRPr="006F41A6">
              <w:rPr>
                <w:rFonts w:ascii="Times New Roman" w:hAnsi="Times New Roman" w:cs="Times New Roman"/>
                <w:b/>
                <w:sz w:val="26"/>
                <w:szCs w:val="26"/>
              </w:rPr>
              <w:t xml:space="preserve"> г.</w:t>
            </w:r>
          </w:p>
        </w:tc>
      </w:tr>
      <w:tr w:rsidR="005A2E85" w:rsidRPr="006F41A6" w14:paraId="16474D77" w14:textId="77777777" w:rsidTr="005F0478">
        <w:trPr>
          <w:jc w:val="center"/>
        </w:trPr>
        <w:tc>
          <w:tcPr>
            <w:tcW w:w="5070" w:type="dxa"/>
            <w:shd w:val="clear" w:color="auto" w:fill="F2F2F2" w:themeFill="background1" w:themeFillShade="F2"/>
            <w:tcMar>
              <w:top w:w="57" w:type="dxa"/>
              <w:bottom w:w="57" w:type="dxa"/>
            </w:tcMar>
            <w:vAlign w:val="center"/>
          </w:tcPr>
          <w:p w14:paraId="20831150" w14:textId="77777777" w:rsidR="005A2E85" w:rsidRPr="006F41A6" w:rsidRDefault="005A2E85" w:rsidP="0033609E">
            <w:pPr>
              <w:rPr>
                <w:rFonts w:ascii="Times New Roman" w:hAnsi="Times New Roman" w:cs="Times New Roman"/>
                <w:sz w:val="24"/>
                <w:szCs w:val="28"/>
              </w:rPr>
            </w:pPr>
            <w:r w:rsidRPr="006F41A6">
              <w:rPr>
                <w:rFonts w:ascii="Times New Roman" w:hAnsi="Times New Roman" w:cs="Times New Roman"/>
                <w:sz w:val="24"/>
                <w:szCs w:val="28"/>
              </w:rPr>
              <w:t>Адрес электронной почты для направления информации:</w:t>
            </w:r>
          </w:p>
        </w:tc>
        <w:tc>
          <w:tcPr>
            <w:tcW w:w="4892" w:type="dxa"/>
            <w:tcMar>
              <w:top w:w="57" w:type="dxa"/>
              <w:bottom w:w="57" w:type="dxa"/>
            </w:tcMar>
            <w:vAlign w:val="center"/>
          </w:tcPr>
          <w:p w14:paraId="5F3BDAD7" w14:textId="77777777" w:rsidR="005A2E85" w:rsidRPr="006F41A6" w:rsidRDefault="00291939" w:rsidP="00E32A71">
            <w:pPr>
              <w:jc w:val="center"/>
              <w:rPr>
                <w:rFonts w:ascii="Times New Roman" w:hAnsi="Times New Roman" w:cs="Times New Roman"/>
                <w:sz w:val="24"/>
                <w:szCs w:val="28"/>
                <w:lang w:val="en-US"/>
              </w:rPr>
            </w:pPr>
            <w:hyperlink r:id="rId10" w:history="1">
              <w:r w:rsidR="00467CAB" w:rsidRPr="006F41A6">
                <w:rPr>
                  <w:rStyle w:val="ab"/>
                  <w:rFonts w:ascii="Times New Roman" w:hAnsi="Times New Roman" w:cs="Times New Roman"/>
                  <w:b/>
                  <w:sz w:val="26"/>
                  <w:szCs w:val="26"/>
                </w:rPr>
                <w:t>KrupnovaAV@economy.gov.ru</w:t>
              </w:r>
            </w:hyperlink>
          </w:p>
        </w:tc>
      </w:tr>
      <w:tr w:rsidR="005A2E85" w:rsidRPr="006F41A6" w14:paraId="6DF86913" w14:textId="77777777" w:rsidTr="005F0478">
        <w:trPr>
          <w:jc w:val="center"/>
        </w:trPr>
        <w:tc>
          <w:tcPr>
            <w:tcW w:w="5070" w:type="dxa"/>
            <w:shd w:val="clear" w:color="auto" w:fill="F2F2F2" w:themeFill="background1" w:themeFillShade="F2"/>
            <w:tcMar>
              <w:top w:w="57" w:type="dxa"/>
              <w:bottom w:w="57" w:type="dxa"/>
            </w:tcMar>
            <w:vAlign w:val="center"/>
          </w:tcPr>
          <w:p w14:paraId="48737C29" w14:textId="77777777" w:rsidR="005A2E85" w:rsidRPr="006F41A6" w:rsidRDefault="005A2E85" w:rsidP="004338CE">
            <w:pPr>
              <w:rPr>
                <w:rFonts w:ascii="Times New Roman" w:hAnsi="Times New Roman" w:cs="Times New Roman"/>
                <w:sz w:val="24"/>
                <w:szCs w:val="28"/>
              </w:rPr>
            </w:pPr>
            <w:r w:rsidRPr="006F41A6">
              <w:rPr>
                <w:rFonts w:ascii="Times New Roman" w:hAnsi="Times New Roman" w:cs="Times New Roman"/>
                <w:sz w:val="24"/>
                <w:szCs w:val="28"/>
              </w:rPr>
              <w:t xml:space="preserve">Контактное лицо в Департаменте </w:t>
            </w:r>
            <w:r w:rsidR="004338CE" w:rsidRPr="006F41A6">
              <w:rPr>
                <w:rFonts w:ascii="Times New Roman" w:hAnsi="Times New Roman" w:cs="Times New Roman"/>
                <w:sz w:val="24"/>
                <w:szCs w:val="28"/>
              </w:rPr>
              <w:br/>
            </w:r>
            <w:r w:rsidRPr="006F41A6">
              <w:rPr>
                <w:rFonts w:ascii="Times New Roman" w:hAnsi="Times New Roman" w:cs="Times New Roman"/>
                <w:sz w:val="24"/>
                <w:szCs w:val="28"/>
              </w:rPr>
              <w:t>оценки регулирующего воздействия Минэкономразвития России:</w:t>
            </w:r>
          </w:p>
        </w:tc>
        <w:tc>
          <w:tcPr>
            <w:tcW w:w="4892" w:type="dxa"/>
            <w:tcMar>
              <w:top w:w="57" w:type="dxa"/>
              <w:bottom w:w="57" w:type="dxa"/>
            </w:tcMar>
            <w:vAlign w:val="center"/>
          </w:tcPr>
          <w:p w14:paraId="116F1800" w14:textId="77777777" w:rsidR="0033609E" w:rsidRPr="006F41A6" w:rsidRDefault="00467CAB" w:rsidP="009B0F0E">
            <w:pPr>
              <w:jc w:val="center"/>
              <w:rPr>
                <w:rFonts w:ascii="Times New Roman" w:hAnsi="Times New Roman" w:cs="Times New Roman"/>
                <w:sz w:val="24"/>
                <w:szCs w:val="28"/>
              </w:rPr>
            </w:pPr>
            <w:r w:rsidRPr="006F41A6">
              <w:rPr>
                <w:rFonts w:ascii="Times New Roman" w:hAnsi="Times New Roman" w:cs="Times New Roman"/>
                <w:b/>
                <w:sz w:val="26"/>
                <w:szCs w:val="26"/>
              </w:rPr>
              <w:t xml:space="preserve">Крупнова </w:t>
            </w:r>
            <w:r w:rsidR="00676FCD" w:rsidRPr="006F41A6">
              <w:rPr>
                <w:rFonts w:ascii="Times New Roman" w:hAnsi="Times New Roman" w:cs="Times New Roman"/>
                <w:b/>
                <w:sz w:val="26"/>
                <w:szCs w:val="26"/>
              </w:rPr>
              <w:t>Анастасия Владимировна, (495) 87</w:t>
            </w:r>
            <w:r w:rsidRPr="006F41A6">
              <w:rPr>
                <w:rFonts w:ascii="Times New Roman" w:hAnsi="Times New Roman" w:cs="Times New Roman"/>
                <w:b/>
                <w:sz w:val="26"/>
                <w:szCs w:val="26"/>
              </w:rPr>
              <w:t>0-87-00 доб. 2629</w:t>
            </w:r>
          </w:p>
        </w:tc>
      </w:tr>
    </w:tbl>
    <w:p w14:paraId="6DE3FD21" w14:textId="77777777" w:rsidR="00D55731" w:rsidRPr="006F41A6" w:rsidRDefault="009D4D0D" w:rsidP="00D601EF">
      <w:pPr>
        <w:spacing w:before="360"/>
        <w:ind w:firstLine="709"/>
        <w:rPr>
          <w:rFonts w:ascii="Times New Roman" w:hAnsi="Times New Roman" w:cs="Times New Roman"/>
          <w:b/>
          <w:sz w:val="28"/>
          <w:szCs w:val="28"/>
        </w:rPr>
      </w:pPr>
      <w:r w:rsidRPr="006F41A6">
        <w:rPr>
          <w:rFonts w:ascii="Times New Roman" w:hAnsi="Times New Roman" w:cs="Times New Roman"/>
          <w:b/>
          <w:sz w:val="28"/>
          <w:szCs w:val="28"/>
        </w:rPr>
        <w:t>Общие сведения</w:t>
      </w:r>
      <w:r w:rsidR="0033609E" w:rsidRPr="006F41A6">
        <w:rPr>
          <w:rFonts w:ascii="Times New Roman" w:hAnsi="Times New Roman" w:cs="Times New Roman"/>
          <w:b/>
          <w:sz w:val="28"/>
          <w:szCs w:val="28"/>
        </w:rPr>
        <w:t xml:space="preserve"> о проекте акта</w:t>
      </w:r>
      <w:r w:rsidRPr="006F41A6">
        <w:rPr>
          <w:rFonts w:ascii="Times New Roman" w:hAnsi="Times New Roman" w:cs="Times New Roman"/>
          <w:b/>
          <w:sz w:val="28"/>
          <w:szCs w:val="28"/>
        </w:rPr>
        <w:t>:</w:t>
      </w:r>
    </w:p>
    <w:tbl>
      <w:tblPr>
        <w:tblStyle w:val="a9"/>
        <w:tblW w:w="0" w:type="auto"/>
        <w:jc w:val="center"/>
        <w:tblLook w:val="04A0" w:firstRow="1" w:lastRow="0" w:firstColumn="1" w:lastColumn="0" w:noHBand="0" w:noVBand="1"/>
      </w:tblPr>
      <w:tblGrid>
        <w:gridCol w:w="2943"/>
        <w:gridCol w:w="7019"/>
      </w:tblGrid>
      <w:tr w:rsidR="0033609E" w:rsidRPr="006F41A6" w14:paraId="0016EB26" w14:textId="77777777" w:rsidTr="005F0478">
        <w:trPr>
          <w:jc w:val="center"/>
        </w:trPr>
        <w:tc>
          <w:tcPr>
            <w:tcW w:w="2943" w:type="dxa"/>
            <w:shd w:val="clear" w:color="auto" w:fill="F2F2F2" w:themeFill="background1" w:themeFillShade="F2"/>
            <w:tcMar>
              <w:top w:w="57" w:type="dxa"/>
              <w:bottom w:w="57" w:type="dxa"/>
            </w:tcMar>
            <w:vAlign w:val="center"/>
          </w:tcPr>
          <w:p w14:paraId="5E72C54F" w14:textId="77777777" w:rsidR="0033609E" w:rsidRPr="006F41A6" w:rsidRDefault="0033609E" w:rsidP="00573E6C">
            <w:pPr>
              <w:jc w:val="both"/>
              <w:rPr>
                <w:rFonts w:ascii="Times New Roman" w:hAnsi="Times New Roman" w:cs="Times New Roman"/>
                <w:sz w:val="24"/>
                <w:szCs w:val="28"/>
              </w:rPr>
            </w:pPr>
            <w:r w:rsidRPr="006F41A6">
              <w:rPr>
                <w:rFonts w:ascii="Times New Roman" w:hAnsi="Times New Roman" w:cs="Times New Roman"/>
                <w:sz w:val="24"/>
                <w:szCs w:val="28"/>
              </w:rPr>
              <w:t>Сфера государственного регулирования:</w:t>
            </w:r>
          </w:p>
        </w:tc>
        <w:tc>
          <w:tcPr>
            <w:tcW w:w="7019" w:type="dxa"/>
            <w:tcMar>
              <w:top w:w="57" w:type="dxa"/>
              <w:bottom w:w="57" w:type="dxa"/>
            </w:tcMar>
            <w:vAlign w:val="center"/>
          </w:tcPr>
          <w:p w14:paraId="74085E4F" w14:textId="77777777" w:rsidR="0033609E" w:rsidRPr="006F41A6" w:rsidRDefault="00A44A75" w:rsidP="00060E1D">
            <w:pPr>
              <w:jc w:val="center"/>
              <w:rPr>
                <w:rFonts w:ascii="Times New Roman" w:hAnsi="Times New Roman" w:cs="Times New Roman"/>
                <w:sz w:val="24"/>
                <w:szCs w:val="28"/>
              </w:rPr>
            </w:pPr>
            <w:r w:rsidRPr="006F41A6">
              <w:rPr>
                <w:rFonts w:ascii="Times New Roman" w:hAnsi="Times New Roman" w:cs="Times New Roman"/>
                <w:sz w:val="24"/>
                <w:szCs w:val="28"/>
              </w:rPr>
              <w:t>Контроль (надзор)</w:t>
            </w:r>
          </w:p>
        </w:tc>
      </w:tr>
      <w:tr w:rsidR="009D4D0D" w:rsidRPr="006F41A6" w14:paraId="6180457E" w14:textId="77777777" w:rsidTr="005F0478">
        <w:trPr>
          <w:jc w:val="center"/>
        </w:trPr>
        <w:tc>
          <w:tcPr>
            <w:tcW w:w="2943" w:type="dxa"/>
            <w:shd w:val="clear" w:color="auto" w:fill="F2F2F2" w:themeFill="background1" w:themeFillShade="F2"/>
            <w:tcMar>
              <w:top w:w="57" w:type="dxa"/>
              <w:bottom w:w="57" w:type="dxa"/>
            </w:tcMar>
            <w:vAlign w:val="center"/>
          </w:tcPr>
          <w:p w14:paraId="0A47BA65" w14:textId="77777777" w:rsidR="009D4D0D" w:rsidRPr="006F41A6" w:rsidRDefault="00505A82" w:rsidP="00505A82">
            <w:pPr>
              <w:jc w:val="both"/>
              <w:rPr>
                <w:rFonts w:ascii="Times New Roman" w:hAnsi="Times New Roman" w:cs="Times New Roman"/>
                <w:sz w:val="24"/>
                <w:szCs w:val="28"/>
              </w:rPr>
            </w:pPr>
            <w:r w:rsidRPr="006F41A6">
              <w:rPr>
                <w:rFonts w:ascii="Times New Roman" w:hAnsi="Times New Roman" w:cs="Times New Roman"/>
                <w:sz w:val="24"/>
                <w:szCs w:val="28"/>
              </w:rPr>
              <w:t>Вид и н</w:t>
            </w:r>
            <w:r w:rsidR="009D4D0D" w:rsidRPr="006F41A6">
              <w:rPr>
                <w:rFonts w:ascii="Times New Roman" w:hAnsi="Times New Roman" w:cs="Times New Roman"/>
                <w:sz w:val="24"/>
                <w:szCs w:val="28"/>
              </w:rPr>
              <w:t>аименование</w:t>
            </w:r>
            <w:r w:rsidR="0033609E" w:rsidRPr="006F41A6">
              <w:rPr>
                <w:rFonts w:ascii="Times New Roman" w:hAnsi="Times New Roman" w:cs="Times New Roman"/>
                <w:sz w:val="24"/>
                <w:szCs w:val="28"/>
              </w:rPr>
              <w:t>:</w:t>
            </w:r>
          </w:p>
        </w:tc>
        <w:tc>
          <w:tcPr>
            <w:tcW w:w="7019" w:type="dxa"/>
            <w:tcMar>
              <w:top w:w="57" w:type="dxa"/>
              <w:bottom w:w="57" w:type="dxa"/>
            </w:tcMar>
            <w:vAlign w:val="center"/>
          </w:tcPr>
          <w:p w14:paraId="7CC660E6" w14:textId="77777777" w:rsidR="00051FC8" w:rsidRPr="006F41A6" w:rsidRDefault="00B51457" w:rsidP="00866255">
            <w:pPr>
              <w:jc w:val="center"/>
              <w:rPr>
                <w:rFonts w:ascii="Times New Roman" w:hAnsi="Times New Roman" w:cs="Times New Roman"/>
                <w:sz w:val="24"/>
                <w:szCs w:val="28"/>
              </w:rPr>
            </w:pPr>
            <w:r w:rsidRPr="006F41A6">
              <w:rPr>
                <w:rFonts w:ascii="Times New Roman" w:hAnsi="Times New Roman" w:cs="Times New Roman"/>
                <w:sz w:val="24"/>
                <w:szCs w:val="28"/>
              </w:rPr>
              <w:t xml:space="preserve">Проект </w:t>
            </w:r>
            <w:r w:rsidR="00A44A75" w:rsidRPr="006F41A6">
              <w:rPr>
                <w:rFonts w:ascii="Times New Roman" w:hAnsi="Times New Roman" w:cs="Times New Roman"/>
                <w:sz w:val="24"/>
                <w:szCs w:val="28"/>
              </w:rPr>
              <w:t>федерального закона «О внесении изменений в отдельные законодательные акты Российской Федерации по вопросам совершенствования контроля (надзора) за деятельностью регулируемых организаций инфраструктурного комплекса»</w:t>
            </w:r>
          </w:p>
        </w:tc>
      </w:tr>
      <w:tr w:rsidR="009D4D0D" w:rsidRPr="006F41A6" w14:paraId="2C365E46" w14:textId="77777777" w:rsidTr="005F0478">
        <w:trPr>
          <w:jc w:val="center"/>
        </w:trPr>
        <w:tc>
          <w:tcPr>
            <w:tcW w:w="2943" w:type="dxa"/>
            <w:shd w:val="clear" w:color="auto" w:fill="F2F2F2" w:themeFill="background1" w:themeFillShade="F2"/>
            <w:tcMar>
              <w:top w:w="57" w:type="dxa"/>
              <w:bottom w:w="57" w:type="dxa"/>
            </w:tcMar>
            <w:vAlign w:val="center"/>
          </w:tcPr>
          <w:p w14:paraId="10F6D6CE" w14:textId="77777777" w:rsidR="009D4D0D" w:rsidRPr="006F41A6" w:rsidRDefault="0033609E" w:rsidP="00573E6C">
            <w:pPr>
              <w:jc w:val="both"/>
              <w:rPr>
                <w:rFonts w:ascii="Times New Roman" w:hAnsi="Times New Roman" w:cs="Times New Roman"/>
                <w:sz w:val="24"/>
                <w:szCs w:val="28"/>
              </w:rPr>
            </w:pPr>
            <w:r w:rsidRPr="006F41A6">
              <w:rPr>
                <w:rFonts w:ascii="Times New Roman" w:hAnsi="Times New Roman" w:cs="Times New Roman"/>
                <w:sz w:val="24"/>
                <w:szCs w:val="28"/>
              </w:rPr>
              <w:t>Разработчик:</w:t>
            </w:r>
          </w:p>
        </w:tc>
        <w:tc>
          <w:tcPr>
            <w:tcW w:w="7019" w:type="dxa"/>
            <w:tcMar>
              <w:top w:w="57" w:type="dxa"/>
              <w:bottom w:w="57" w:type="dxa"/>
            </w:tcMar>
            <w:vAlign w:val="center"/>
          </w:tcPr>
          <w:p w14:paraId="689B631E" w14:textId="77777777" w:rsidR="009D4D0D" w:rsidRPr="006F41A6" w:rsidRDefault="00DF15E9" w:rsidP="00A44A75">
            <w:pPr>
              <w:jc w:val="center"/>
              <w:rPr>
                <w:rFonts w:ascii="Times New Roman" w:hAnsi="Times New Roman" w:cs="Times New Roman"/>
                <w:sz w:val="24"/>
                <w:szCs w:val="28"/>
              </w:rPr>
            </w:pPr>
            <w:r w:rsidRPr="006F41A6">
              <w:rPr>
                <w:rFonts w:ascii="Times New Roman" w:hAnsi="Times New Roman" w:cs="Times New Roman"/>
                <w:sz w:val="24"/>
                <w:szCs w:val="28"/>
              </w:rPr>
              <w:t>Мин</w:t>
            </w:r>
            <w:r w:rsidR="00A44A75" w:rsidRPr="006F41A6">
              <w:rPr>
                <w:rFonts w:ascii="Times New Roman" w:hAnsi="Times New Roman" w:cs="Times New Roman"/>
                <w:sz w:val="24"/>
                <w:szCs w:val="28"/>
              </w:rPr>
              <w:t>экономразвития России</w:t>
            </w:r>
            <w:r w:rsidR="00747F47" w:rsidRPr="006F41A6">
              <w:rPr>
                <w:rFonts w:ascii="Times New Roman" w:hAnsi="Times New Roman" w:cs="Times New Roman"/>
                <w:sz w:val="24"/>
                <w:szCs w:val="28"/>
              </w:rPr>
              <w:t xml:space="preserve"> </w:t>
            </w:r>
          </w:p>
        </w:tc>
      </w:tr>
      <w:tr w:rsidR="009D4D0D" w:rsidRPr="006F41A6" w14:paraId="362439A1" w14:textId="77777777" w:rsidTr="005F0478">
        <w:trPr>
          <w:jc w:val="center"/>
        </w:trPr>
        <w:tc>
          <w:tcPr>
            <w:tcW w:w="2943" w:type="dxa"/>
            <w:shd w:val="clear" w:color="auto" w:fill="F2F2F2" w:themeFill="background1" w:themeFillShade="F2"/>
            <w:tcMar>
              <w:top w:w="57" w:type="dxa"/>
              <w:bottom w:w="57" w:type="dxa"/>
            </w:tcMar>
            <w:vAlign w:val="center"/>
          </w:tcPr>
          <w:p w14:paraId="3CCB7E3E" w14:textId="77777777" w:rsidR="009D4D0D" w:rsidRPr="006F41A6" w:rsidRDefault="009D4D0D" w:rsidP="0033609E">
            <w:pPr>
              <w:rPr>
                <w:rFonts w:ascii="Times New Roman" w:hAnsi="Times New Roman" w:cs="Times New Roman"/>
                <w:sz w:val="24"/>
                <w:szCs w:val="28"/>
                <w:lang w:val="en-US"/>
              </w:rPr>
            </w:pPr>
            <w:r w:rsidRPr="006F41A6">
              <w:rPr>
                <w:rFonts w:ascii="Times New Roman" w:hAnsi="Times New Roman" w:cs="Times New Roman"/>
                <w:sz w:val="24"/>
                <w:szCs w:val="28"/>
                <w:lang w:val="en-US"/>
              </w:rPr>
              <w:t xml:space="preserve">ID </w:t>
            </w:r>
            <w:r w:rsidRPr="006F41A6">
              <w:rPr>
                <w:rFonts w:ascii="Times New Roman" w:hAnsi="Times New Roman" w:cs="Times New Roman"/>
                <w:sz w:val="24"/>
                <w:szCs w:val="28"/>
              </w:rPr>
              <w:t>на</w:t>
            </w:r>
            <w:r w:rsidRPr="006F41A6">
              <w:rPr>
                <w:rFonts w:ascii="Times New Roman" w:hAnsi="Times New Roman" w:cs="Times New Roman"/>
                <w:sz w:val="24"/>
                <w:szCs w:val="28"/>
                <w:lang w:val="en-US"/>
              </w:rPr>
              <w:t xml:space="preserve"> regulation.gov.ru:</w:t>
            </w:r>
          </w:p>
        </w:tc>
        <w:tc>
          <w:tcPr>
            <w:tcW w:w="7019" w:type="dxa"/>
            <w:tcMar>
              <w:top w:w="57" w:type="dxa"/>
              <w:bottom w:w="57" w:type="dxa"/>
            </w:tcMar>
            <w:vAlign w:val="center"/>
          </w:tcPr>
          <w:p w14:paraId="65B6F00E" w14:textId="77777777" w:rsidR="009D4D0D" w:rsidRPr="006F41A6" w:rsidRDefault="00A44A75" w:rsidP="00866255">
            <w:pPr>
              <w:jc w:val="center"/>
              <w:rPr>
                <w:rFonts w:ascii="Times New Roman" w:hAnsi="Times New Roman" w:cs="Times New Roman"/>
                <w:sz w:val="24"/>
                <w:szCs w:val="28"/>
              </w:rPr>
            </w:pPr>
            <w:r w:rsidRPr="006F41A6">
              <w:rPr>
                <w:rFonts w:ascii="Times New Roman" w:hAnsi="Times New Roman" w:cs="Times New Roman"/>
                <w:sz w:val="24"/>
                <w:szCs w:val="28"/>
              </w:rPr>
              <w:t>02/04/04-18/00080425</w:t>
            </w:r>
          </w:p>
        </w:tc>
      </w:tr>
    </w:tbl>
    <w:p w14:paraId="26C3A896" w14:textId="77777777" w:rsidR="00C52C24" w:rsidRPr="006F41A6" w:rsidRDefault="00C52C24" w:rsidP="003C5E7A">
      <w:pPr>
        <w:spacing w:before="360" w:after="0"/>
        <w:jc w:val="center"/>
        <w:rPr>
          <w:rFonts w:ascii="Times New Roman" w:hAnsi="Times New Roman" w:cs="Times New Roman"/>
          <w:b/>
          <w:sz w:val="28"/>
          <w:szCs w:val="28"/>
        </w:rPr>
        <w:sectPr w:rsidR="00C52C24" w:rsidRPr="006F41A6" w:rsidSect="005F0478">
          <w:headerReference w:type="even" r:id="rId11"/>
          <w:headerReference w:type="default" r:id="rId12"/>
          <w:footerReference w:type="even" r:id="rId13"/>
          <w:footerReference w:type="default" r:id="rId14"/>
          <w:headerReference w:type="first" r:id="rId15"/>
          <w:footerReference w:type="first" r:id="rId16"/>
          <w:pgSz w:w="11906" w:h="16838"/>
          <w:pgMar w:top="1702" w:right="991" w:bottom="1560" w:left="1080" w:header="708" w:footer="708" w:gutter="0"/>
          <w:cols w:space="708"/>
          <w:titlePg/>
          <w:docGrid w:linePitch="360"/>
        </w:sectPr>
      </w:pPr>
      <w:r w:rsidRPr="006F41A6">
        <w:rPr>
          <w:rFonts w:ascii="Times New Roman" w:hAnsi="Times New Roman" w:cs="Times New Roman"/>
          <w:b/>
          <w:sz w:val="28"/>
          <w:szCs w:val="28"/>
        </w:rPr>
        <w:t xml:space="preserve">Для прохождения опроса </w:t>
      </w:r>
      <w:r w:rsidRPr="006F41A6">
        <w:rPr>
          <w:rFonts w:ascii="Times New Roman" w:hAnsi="Times New Roman" w:cs="Times New Roman"/>
          <w:b/>
          <w:sz w:val="28"/>
          <w:szCs w:val="28"/>
          <w:u w:val="single"/>
        </w:rPr>
        <w:t>просим ознакомиться со сводным отчетом</w:t>
      </w:r>
      <w:r w:rsidRPr="006F41A6">
        <w:rPr>
          <w:rFonts w:ascii="Times New Roman" w:hAnsi="Times New Roman" w:cs="Times New Roman"/>
          <w:b/>
          <w:sz w:val="28"/>
          <w:szCs w:val="28"/>
        </w:rPr>
        <w:t xml:space="preserve"> </w:t>
      </w:r>
      <w:r w:rsidRPr="006F41A6">
        <w:rPr>
          <w:rFonts w:ascii="Times New Roman" w:hAnsi="Times New Roman" w:cs="Times New Roman"/>
          <w:b/>
          <w:sz w:val="28"/>
          <w:szCs w:val="28"/>
        </w:rPr>
        <w:br/>
        <w:t xml:space="preserve">о проведении оценки регулирующего воздействия, </w:t>
      </w:r>
      <w:r w:rsidRPr="006F41A6">
        <w:rPr>
          <w:rFonts w:ascii="Times New Roman" w:hAnsi="Times New Roman" w:cs="Times New Roman"/>
          <w:b/>
          <w:sz w:val="28"/>
          <w:szCs w:val="28"/>
        </w:rPr>
        <w:br/>
        <w:t>подготовленным разработчиком проекта акта.</w:t>
      </w:r>
    </w:p>
    <w:p w14:paraId="3B2746D4" w14:textId="77777777" w:rsidR="005C1538" w:rsidRPr="006F41A6" w:rsidRDefault="0033609E" w:rsidP="00E222F1">
      <w:pPr>
        <w:spacing w:before="240" w:after="240"/>
        <w:rPr>
          <w:rFonts w:ascii="Times New Roman" w:hAnsi="Times New Roman" w:cs="Times New Roman"/>
          <w:b/>
          <w:sz w:val="28"/>
          <w:szCs w:val="28"/>
        </w:rPr>
      </w:pPr>
      <w:r w:rsidRPr="006F41A6">
        <w:rPr>
          <w:rFonts w:ascii="Times New Roman" w:hAnsi="Times New Roman" w:cs="Times New Roman"/>
          <w:b/>
          <w:sz w:val="28"/>
          <w:szCs w:val="28"/>
        </w:rPr>
        <w:lastRenderedPageBreak/>
        <w:t>Вопросы</w:t>
      </w:r>
      <w:r w:rsidR="005C1538" w:rsidRPr="006F41A6">
        <w:rPr>
          <w:rFonts w:ascii="Times New Roman" w:hAnsi="Times New Roman" w:cs="Times New Roman"/>
          <w:b/>
          <w:sz w:val="28"/>
          <w:szCs w:val="28"/>
        </w:rPr>
        <w:t>:</w:t>
      </w:r>
    </w:p>
    <w:tbl>
      <w:tblPr>
        <w:tblStyle w:val="a9"/>
        <w:tblpPr w:leftFromText="180" w:rightFromText="180" w:vertAnchor="text" w:tblpY="1"/>
        <w:tblOverlap w:val="never"/>
        <w:tblW w:w="10065" w:type="dxa"/>
        <w:tblLook w:val="04A0" w:firstRow="1" w:lastRow="0" w:firstColumn="1" w:lastColumn="0" w:noHBand="0" w:noVBand="1"/>
      </w:tblPr>
      <w:tblGrid>
        <w:gridCol w:w="10065"/>
      </w:tblGrid>
      <w:tr w:rsidR="006C6D6A" w:rsidRPr="006F41A6" w14:paraId="426115FE" w14:textId="77777777" w:rsidTr="00851415">
        <w:trPr>
          <w:cantSplit/>
        </w:trPr>
        <w:tc>
          <w:tcPr>
            <w:tcW w:w="10065" w:type="dxa"/>
            <w:shd w:val="clear" w:color="auto" w:fill="F2F2F2" w:themeFill="background1" w:themeFillShade="F2"/>
            <w:tcMar>
              <w:top w:w="113" w:type="dxa"/>
              <w:bottom w:w="113" w:type="dxa"/>
            </w:tcMar>
          </w:tcPr>
          <w:p w14:paraId="6CD4FFAA" w14:textId="77777777" w:rsidR="006C6D6A" w:rsidRPr="006F41A6" w:rsidRDefault="006C6D6A" w:rsidP="00851415">
            <w:pPr>
              <w:jc w:val="both"/>
              <w:rPr>
                <w:rFonts w:ascii="Times New Roman" w:hAnsi="Times New Roman" w:cs="Times New Roman"/>
                <w:sz w:val="24"/>
                <w:szCs w:val="24"/>
              </w:rPr>
            </w:pPr>
            <w:r w:rsidRPr="006F41A6">
              <w:rPr>
                <w:rFonts w:ascii="Times New Roman" w:hAnsi="Times New Roman" w:cs="Times New Roman"/>
                <w:sz w:val="24"/>
                <w:szCs w:val="24"/>
              </w:rPr>
              <w:t>Актуальна ли проблема</w:t>
            </w:r>
            <w:r w:rsidR="005751E7" w:rsidRPr="006F41A6">
              <w:rPr>
                <w:rFonts w:ascii="Times New Roman" w:hAnsi="Times New Roman" w:cs="Times New Roman"/>
                <w:sz w:val="24"/>
                <w:szCs w:val="24"/>
              </w:rPr>
              <w:t>, описанная разработчико</w:t>
            </w:r>
            <w:r w:rsidR="00573E6C" w:rsidRPr="006F41A6">
              <w:rPr>
                <w:rFonts w:ascii="Times New Roman" w:hAnsi="Times New Roman" w:cs="Times New Roman"/>
                <w:sz w:val="24"/>
                <w:szCs w:val="24"/>
              </w:rPr>
              <w:t>м</w:t>
            </w:r>
            <w:r w:rsidR="005751E7" w:rsidRPr="006F41A6">
              <w:rPr>
                <w:rFonts w:ascii="Times New Roman" w:hAnsi="Times New Roman" w:cs="Times New Roman"/>
                <w:sz w:val="24"/>
                <w:szCs w:val="24"/>
              </w:rPr>
              <w:t xml:space="preserve"> в сводном отчете</w:t>
            </w:r>
            <w:r w:rsidRPr="006F41A6">
              <w:rPr>
                <w:rFonts w:ascii="Times New Roman" w:hAnsi="Times New Roman" w:cs="Times New Roman"/>
                <w:sz w:val="24"/>
                <w:szCs w:val="24"/>
              </w:rPr>
              <w:t>? Позволит ли принятие данного проекта решить проблему?</w:t>
            </w:r>
          </w:p>
        </w:tc>
      </w:tr>
      <w:tr w:rsidR="006C6D6A" w:rsidRPr="006F41A6" w14:paraId="07D7D8B1" w14:textId="77777777" w:rsidTr="00851415">
        <w:trPr>
          <w:cantSplit/>
        </w:trPr>
        <w:tc>
          <w:tcPr>
            <w:tcW w:w="10065" w:type="dxa"/>
            <w:tcMar>
              <w:top w:w="113" w:type="dxa"/>
              <w:bottom w:w="113" w:type="dxa"/>
            </w:tcMar>
          </w:tcPr>
          <w:p w14:paraId="21958738" w14:textId="21039297" w:rsidR="001D4D5C" w:rsidRPr="006F41A6" w:rsidRDefault="0068656A" w:rsidP="00F32CD2">
            <w:pPr>
              <w:ind w:firstLine="709"/>
              <w:jc w:val="both"/>
              <w:rPr>
                <w:rFonts w:ascii="Times New Roman" w:hAnsi="Times New Roman" w:cs="Times New Roman"/>
                <w:sz w:val="24"/>
                <w:szCs w:val="24"/>
              </w:rPr>
            </w:pPr>
            <w:r w:rsidRPr="006F41A6">
              <w:rPr>
                <w:rFonts w:ascii="Times New Roman" w:hAnsi="Times New Roman" w:cs="Times New Roman"/>
                <w:sz w:val="24"/>
                <w:szCs w:val="24"/>
              </w:rPr>
              <w:t>Считаем, что актуальность проблемы описанной разработчиком в</w:t>
            </w:r>
            <w:r w:rsidR="00D2248C" w:rsidRPr="006F41A6">
              <w:rPr>
                <w:rFonts w:ascii="Times New Roman" w:hAnsi="Times New Roman" w:cs="Times New Roman"/>
                <w:sz w:val="24"/>
                <w:szCs w:val="24"/>
              </w:rPr>
              <w:t xml:space="preserve"> сводном отчете не подтверждена. Из краткого оп</w:t>
            </w:r>
            <w:r w:rsidR="005C50B6" w:rsidRPr="006F41A6">
              <w:rPr>
                <w:rFonts w:ascii="Times New Roman" w:hAnsi="Times New Roman" w:cs="Times New Roman"/>
                <w:sz w:val="24"/>
                <w:szCs w:val="24"/>
              </w:rPr>
              <w:t>исания проблемы следует, что</w:t>
            </w:r>
            <w:r w:rsidR="00D2248C" w:rsidRPr="006F41A6">
              <w:rPr>
                <w:rFonts w:ascii="Times New Roman" w:hAnsi="Times New Roman" w:cs="Times New Roman"/>
                <w:sz w:val="24"/>
                <w:szCs w:val="24"/>
              </w:rPr>
              <w:t xml:space="preserve"> регулируемые организации расходуют тарифную в</w:t>
            </w:r>
            <w:r w:rsidR="005C50B6" w:rsidRPr="006F41A6">
              <w:rPr>
                <w:rFonts w:ascii="Times New Roman" w:hAnsi="Times New Roman" w:cs="Times New Roman"/>
                <w:sz w:val="24"/>
                <w:szCs w:val="24"/>
              </w:rPr>
              <w:t>ыручку, собранную с потребителей</w:t>
            </w:r>
            <w:r w:rsidR="00D2248C" w:rsidRPr="006F41A6">
              <w:rPr>
                <w:rFonts w:ascii="Times New Roman" w:hAnsi="Times New Roman" w:cs="Times New Roman"/>
                <w:sz w:val="24"/>
                <w:szCs w:val="24"/>
              </w:rPr>
              <w:t xml:space="preserve"> нецелевым образом.</w:t>
            </w:r>
            <w:r w:rsidR="005C50B6" w:rsidRPr="006F41A6">
              <w:rPr>
                <w:rFonts w:ascii="Times New Roman" w:hAnsi="Times New Roman" w:cs="Times New Roman"/>
                <w:sz w:val="24"/>
                <w:szCs w:val="24"/>
              </w:rPr>
              <w:t xml:space="preserve"> Но в отчете отсутствует </w:t>
            </w:r>
            <w:proofErr w:type="gramStart"/>
            <w:r w:rsidR="005C50B6" w:rsidRPr="006F41A6">
              <w:rPr>
                <w:rFonts w:ascii="Times New Roman" w:hAnsi="Times New Roman" w:cs="Times New Roman"/>
                <w:sz w:val="24"/>
                <w:szCs w:val="24"/>
              </w:rPr>
              <w:t>информация</w:t>
            </w:r>
            <w:proofErr w:type="gramEnd"/>
            <w:r w:rsidR="001D4D5C" w:rsidRPr="006F41A6">
              <w:rPr>
                <w:rFonts w:ascii="Times New Roman" w:hAnsi="Times New Roman" w:cs="Times New Roman"/>
                <w:sz w:val="24"/>
                <w:szCs w:val="24"/>
              </w:rPr>
              <w:t xml:space="preserve"> о каком количестве</w:t>
            </w:r>
            <w:r w:rsidR="00A02922" w:rsidRPr="001746C8">
              <w:rPr>
                <w:rFonts w:ascii="Times New Roman" w:hAnsi="Times New Roman" w:cs="Times New Roman"/>
                <w:sz w:val="24"/>
                <w:szCs w:val="24"/>
              </w:rPr>
              <w:t xml:space="preserve"> </w:t>
            </w:r>
            <w:r w:rsidR="00A02922">
              <w:rPr>
                <w:rFonts w:ascii="Times New Roman" w:hAnsi="Times New Roman" w:cs="Times New Roman"/>
                <w:sz w:val="24"/>
                <w:szCs w:val="24"/>
              </w:rPr>
              <w:t>таких случаев нецелевого расходования выручки</w:t>
            </w:r>
            <w:r w:rsidR="005D0349">
              <w:rPr>
                <w:rFonts w:ascii="Times New Roman" w:hAnsi="Times New Roman" w:cs="Times New Roman"/>
                <w:sz w:val="24"/>
                <w:szCs w:val="24"/>
              </w:rPr>
              <w:t xml:space="preserve"> и о каком объеме</w:t>
            </w:r>
            <w:r w:rsidR="000C65F4" w:rsidRPr="006F41A6">
              <w:rPr>
                <w:rFonts w:ascii="Times New Roman" w:hAnsi="Times New Roman" w:cs="Times New Roman"/>
                <w:sz w:val="24"/>
                <w:szCs w:val="24"/>
              </w:rPr>
              <w:t xml:space="preserve"> </w:t>
            </w:r>
            <w:r w:rsidR="001D4D5C" w:rsidRPr="006F41A6">
              <w:rPr>
                <w:rFonts w:ascii="Times New Roman" w:hAnsi="Times New Roman" w:cs="Times New Roman"/>
                <w:sz w:val="24"/>
                <w:szCs w:val="24"/>
              </w:rPr>
              <w:t>идет речь</w:t>
            </w:r>
            <w:r w:rsidR="000C65F4" w:rsidRPr="006F41A6">
              <w:rPr>
                <w:rFonts w:ascii="Times New Roman" w:hAnsi="Times New Roman" w:cs="Times New Roman"/>
                <w:sz w:val="24"/>
                <w:szCs w:val="24"/>
              </w:rPr>
              <w:t>.</w:t>
            </w:r>
            <w:r w:rsidR="00D2248C" w:rsidRPr="006F41A6">
              <w:rPr>
                <w:rFonts w:ascii="Times New Roman" w:hAnsi="Times New Roman" w:cs="Times New Roman"/>
                <w:sz w:val="24"/>
                <w:szCs w:val="24"/>
              </w:rPr>
              <w:t xml:space="preserve"> </w:t>
            </w:r>
          </w:p>
          <w:p w14:paraId="00712FF0" w14:textId="7E667F67" w:rsidR="006E32A1" w:rsidRPr="006F41A6" w:rsidRDefault="005812BC" w:rsidP="00F32CD2">
            <w:pPr>
              <w:ind w:firstLine="709"/>
              <w:jc w:val="both"/>
              <w:rPr>
                <w:rFonts w:ascii="Times New Roman" w:hAnsi="Times New Roman" w:cs="Times New Roman"/>
                <w:sz w:val="24"/>
                <w:szCs w:val="24"/>
              </w:rPr>
            </w:pPr>
            <w:r w:rsidRPr="006F41A6">
              <w:rPr>
                <w:rFonts w:ascii="Times New Roman" w:hAnsi="Times New Roman" w:cs="Times New Roman"/>
                <w:sz w:val="24"/>
                <w:szCs w:val="24"/>
              </w:rPr>
              <w:t>В случае</w:t>
            </w:r>
            <w:proofErr w:type="gramStart"/>
            <w:r w:rsidRPr="006F41A6">
              <w:rPr>
                <w:rFonts w:ascii="Times New Roman" w:hAnsi="Times New Roman" w:cs="Times New Roman"/>
                <w:sz w:val="24"/>
                <w:szCs w:val="24"/>
              </w:rPr>
              <w:t>,</w:t>
            </w:r>
            <w:proofErr w:type="gramEnd"/>
            <w:r w:rsidRPr="006F41A6">
              <w:rPr>
                <w:rFonts w:ascii="Times New Roman" w:hAnsi="Times New Roman" w:cs="Times New Roman"/>
                <w:sz w:val="24"/>
                <w:szCs w:val="24"/>
              </w:rPr>
              <w:t xml:space="preserve"> если нецелевое использование средств привело к нарушению надежности </w:t>
            </w:r>
            <w:proofErr w:type="spellStart"/>
            <w:r w:rsidRPr="006F41A6">
              <w:rPr>
                <w:rFonts w:ascii="Times New Roman" w:hAnsi="Times New Roman" w:cs="Times New Roman"/>
                <w:sz w:val="24"/>
                <w:szCs w:val="24"/>
              </w:rPr>
              <w:t>ресурсоснабжения</w:t>
            </w:r>
            <w:proofErr w:type="spellEnd"/>
            <w:r w:rsidRPr="006F41A6">
              <w:rPr>
                <w:rFonts w:ascii="Times New Roman" w:hAnsi="Times New Roman" w:cs="Times New Roman"/>
                <w:sz w:val="24"/>
                <w:szCs w:val="24"/>
              </w:rPr>
              <w:t xml:space="preserve"> и/или безопасности потребителей, законодательством РФ уже предусмотрены меры финансовой, административной и уголовной ответственности.</w:t>
            </w:r>
            <w:r w:rsidR="0006394C" w:rsidRPr="006F41A6">
              <w:rPr>
                <w:rFonts w:ascii="Times New Roman" w:hAnsi="Times New Roman" w:cs="Times New Roman"/>
                <w:sz w:val="24"/>
                <w:szCs w:val="24"/>
              </w:rPr>
              <w:t xml:space="preserve"> </w:t>
            </w:r>
            <w:r w:rsidR="00E66239">
              <w:rPr>
                <w:rFonts w:ascii="Times New Roman" w:hAnsi="Times New Roman" w:cs="Times New Roman"/>
                <w:sz w:val="24"/>
                <w:szCs w:val="24"/>
              </w:rPr>
              <w:t>Также</w:t>
            </w:r>
            <w:r w:rsidR="0006394C" w:rsidRPr="006F41A6">
              <w:rPr>
                <w:rFonts w:ascii="Times New Roman" w:hAnsi="Times New Roman" w:cs="Times New Roman"/>
                <w:sz w:val="24"/>
                <w:szCs w:val="24"/>
              </w:rPr>
              <w:t>, в настоящее время регулируемые сферы деятельности</w:t>
            </w:r>
            <w:r w:rsidR="001D4D5C" w:rsidRPr="006F41A6">
              <w:rPr>
                <w:rFonts w:ascii="Times New Roman" w:hAnsi="Times New Roman" w:cs="Times New Roman"/>
                <w:sz w:val="24"/>
                <w:szCs w:val="24"/>
              </w:rPr>
              <w:t xml:space="preserve"> уже</w:t>
            </w:r>
            <w:r w:rsidR="0006394C" w:rsidRPr="006F41A6">
              <w:rPr>
                <w:rFonts w:ascii="Times New Roman" w:hAnsi="Times New Roman" w:cs="Times New Roman"/>
                <w:sz w:val="24"/>
                <w:szCs w:val="24"/>
              </w:rPr>
              <w:t xml:space="preserve"> являются объектом проверки со стороны органов прокуратуры и Счетной палаты</w:t>
            </w:r>
            <w:r w:rsidR="00D6506D">
              <w:rPr>
                <w:rFonts w:ascii="Times New Roman" w:hAnsi="Times New Roman" w:cs="Times New Roman"/>
                <w:sz w:val="24"/>
                <w:szCs w:val="24"/>
              </w:rPr>
              <w:t xml:space="preserve"> РФ</w:t>
            </w:r>
            <w:r w:rsidR="0006394C" w:rsidRPr="006F41A6">
              <w:rPr>
                <w:rFonts w:ascii="Times New Roman" w:hAnsi="Times New Roman" w:cs="Times New Roman"/>
                <w:sz w:val="24"/>
                <w:szCs w:val="24"/>
              </w:rPr>
              <w:t>.</w:t>
            </w:r>
          </w:p>
          <w:p w14:paraId="2C2E50A0" w14:textId="70249F86" w:rsidR="00D2248C" w:rsidRPr="006F41A6" w:rsidRDefault="00D2248C" w:rsidP="00F32CD2">
            <w:pPr>
              <w:ind w:firstLine="709"/>
              <w:jc w:val="both"/>
              <w:rPr>
                <w:rFonts w:ascii="Times New Roman" w:hAnsi="Times New Roman" w:cs="Times New Roman"/>
                <w:sz w:val="24"/>
                <w:szCs w:val="24"/>
              </w:rPr>
            </w:pPr>
            <w:r w:rsidRPr="006F41A6">
              <w:rPr>
                <w:rFonts w:ascii="Times New Roman" w:hAnsi="Times New Roman" w:cs="Times New Roman"/>
                <w:sz w:val="24"/>
                <w:szCs w:val="24"/>
              </w:rPr>
              <w:t>Представленный законопроект</w:t>
            </w:r>
            <w:r w:rsidR="00916837">
              <w:rPr>
                <w:rFonts w:ascii="Times New Roman" w:hAnsi="Times New Roman" w:cs="Times New Roman"/>
                <w:sz w:val="24"/>
                <w:szCs w:val="24"/>
              </w:rPr>
              <w:t xml:space="preserve">  приведе</w:t>
            </w:r>
            <w:r w:rsidR="000C65F4" w:rsidRPr="006F41A6">
              <w:rPr>
                <w:rFonts w:ascii="Times New Roman" w:hAnsi="Times New Roman" w:cs="Times New Roman"/>
                <w:sz w:val="24"/>
                <w:szCs w:val="24"/>
              </w:rPr>
              <w:t xml:space="preserve">т </w:t>
            </w:r>
            <w:r w:rsidR="00916837">
              <w:rPr>
                <w:rFonts w:ascii="Times New Roman" w:hAnsi="Times New Roman" w:cs="Times New Roman"/>
                <w:sz w:val="24"/>
                <w:szCs w:val="24"/>
              </w:rPr>
              <w:t xml:space="preserve"> </w:t>
            </w:r>
            <w:r w:rsidR="000C65F4" w:rsidRPr="006F41A6">
              <w:rPr>
                <w:rFonts w:ascii="Times New Roman" w:hAnsi="Times New Roman" w:cs="Times New Roman"/>
                <w:sz w:val="24"/>
                <w:szCs w:val="24"/>
              </w:rPr>
              <w:t xml:space="preserve">к </w:t>
            </w:r>
            <w:r w:rsidR="00916837">
              <w:rPr>
                <w:rFonts w:ascii="Times New Roman" w:hAnsi="Times New Roman" w:cs="Times New Roman"/>
                <w:sz w:val="24"/>
                <w:szCs w:val="24"/>
              </w:rPr>
              <w:t xml:space="preserve">снижению </w:t>
            </w:r>
            <w:r w:rsidR="00916837" w:rsidRPr="006F41A6">
              <w:rPr>
                <w:rFonts w:ascii="Times New Roman" w:hAnsi="Times New Roman" w:cs="Times New Roman"/>
                <w:sz w:val="24"/>
                <w:szCs w:val="24"/>
              </w:rPr>
              <w:t xml:space="preserve"> инвестиций в регулируемые сферы деятельности</w:t>
            </w:r>
            <w:r w:rsidR="00916837">
              <w:rPr>
                <w:rFonts w:ascii="Times New Roman" w:hAnsi="Times New Roman" w:cs="Times New Roman"/>
                <w:sz w:val="24"/>
                <w:szCs w:val="24"/>
              </w:rPr>
              <w:t xml:space="preserve">, нарушению </w:t>
            </w:r>
            <w:r w:rsidR="000C65F4" w:rsidRPr="006F41A6">
              <w:rPr>
                <w:rFonts w:ascii="Times New Roman" w:hAnsi="Times New Roman" w:cs="Times New Roman"/>
                <w:sz w:val="24"/>
                <w:szCs w:val="24"/>
              </w:rPr>
              <w:t>всей</w:t>
            </w:r>
            <w:r w:rsidR="00916837">
              <w:rPr>
                <w:rFonts w:ascii="Times New Roman" w:hAnsi="Times New Roman" w:cs="Times New Roman"/>
                <w:sz w:val="24"/>
                <w:szCs w:val="24"/>
              </w:rPr>
              <w:t xml:space="preserve"> </w:t>
            </w:r>
            <w:r w:rsidR="00916837" w:rsidRPr="006F41A6">
              <w:rPr>
                <w:rFonts w:ascii="Times New Roman" w:hAnsi="Times New Roman" w:cs="Times New Roman"/>
                <w:sz w:val="24"/>
                <w:szCs w:val="24"/>
              </w:rPr>
              <w:t xml:space="preserve"> </w:t>
            </w:r>
            <w:r w:rsidR="00916837">
              <w:rPr>
                <w:rFonts w:ascii="Times New Roman" w:hAnsi="Times New Roman" w:cs="Times New Roman"/>
                <w:sz w:val="24"/>
                <w:szCs w:val="24"/>
              </w:rPr>
              <w:t xml:space="preserve">текущей операционной </w:t>
            </w:r>
            <w:r w:rsidR="000C65F4" w:rsidRPr="006F41A6">
              <w:rPr>
                <w:rFonts w:ascii="Times New Roman" w:hAnsi="Times New Roman" w:cs="Times New Roman"/>
                <w:sz w:val="24"/>
                <w:szCs w:val="24"/>
              </w:rPr>
              <w:t>деятельности регулируемых организаций и их контрагентов</w:t>
            </w:r>
            <w:r w:rsidR="00916837">
              <w:rPr>
                <w:rFonts w:ascii="Times New Roman" w:hAnsi="Times New Roman" w:cs="Times New Roman"/>
                <w:sz w:val="24"/>
                <w:szCs w:val="24"/>
              </w:rPr>
              <w:t xml:space="preserve"> и</w:t>
            </w:r>
            <w:r w:rsidR="00916837" w:rsidRPr="006F41A6">
              <w:rPr>
                <w:rFonts w:ascii="Times New Roman" w:hAnsi="Times New Roman" w:cs="Times New Roman"/>
                <w:sz w:val="24"/>
                <w:szCs w:val="24"/>
              </w:rPr>
              <w:t xml:space="preserve"> не </w:t>
            </w:r>
            <w:r w:rsidR="00916837">
              <w:rPr>
                <w:rFonts w:ascii="Times New Roman" w:hAnsi="Times New Roman" w:cs="Times New Roman"/>
                <w:sz w:val="24"/>
                <w:szCs w:val="24"/>
              </w:rPr>
              <w:t>реши</w:t>
            </w:r>
            <w:r w:rsidR="00916837" w:rsidRPr="006F41A6">
              <w:rPr>
                <w:rFonts w:ascii="Times New Roman" w:hAnsi="Times New Roman" w:cs="Times New Roman"/>
                <w:sz w:val="24"/>
                <w:szCs w:val="24"/>
              </w:rPr>
              <w:t>т</w:t>
            </w:r>
            <w:r w:rsidR="00916837">
              <w:rPr>
                <w:rFonts w:ascii="Times New Roman" w:hAnsi="Times New Roman" w:cs="Times New Roman"/>
                <w:sz w:val="24"/>
                <w:szCs w:val="24"/>
              </w:rPr>
              <w:t xml:space="preserve"> существующие  проблемы</w:t>
            </w:r>
            <w:r w:rsidR="00916837" w:rsidRPr="006F41A6">
              <w:rPr>
                <w:rFonts w:ascii="Times New Roman" w:hAnsi="Times New Roman" w:cs="Times New Roman"/>
                <w:sz w:val="24"/>
                <w:szCs w:val="24"/>
              </w:rPr>
              <w:t>,</w:t>
            </w:r>
            <w:r w:rsidR="00916837">
              <w:rPr>
                <w:rFonts w:ascii="Times New Roman" w:hAnsi="Times New Roman" w:cs="Times New Roman"/>
                <w:sz w:val="24"/>
                <w:szCs w:val="24"/>
              </w:rPr>
              <w:t xml:space="preserve"> указанные в сводном отчёте.</w:t>
            </w:r>
          </w:p>
        </w:tc>
      </w:tr>
      <w:tr w:rsidR="005751E7" w:rsidRPr="006F41A6" w14:paraId="7587A442" w14:textId="77777777" w:rsidTr="00851415">
        <w:trPr>
          <w:cantSplit/>
        </w:trPr>
        <w:tc>
          <w:tcPr>
            <w:tcW w:w="10065" w:type="dxa"/>
            <w:shd w:val="clear" w:color="auto" w:fill="F2F2F2" w:themeFill="background1" w:themeFillShade="F2"/>
            <w:tcMar>
              <w:top w:w="113" w:type="dxa"/>
              <w:bottom w:w="113" w:type="dxa"/>
            </w:tcMar>
          </w:tcPr>
          <w:p w14:paraId="7EA0AFDD" w14:textId="77777777" w:rsidR="005751E7" w:rsidRPr="006F41A6" w:rsidRDefault="005751E7" w:rsidP="00851415">
            <w:pPr>
              <w:jc w:val="both"/>
              <w:rPr>
                <w:rFonts w:ascii="Times New Roman" w:hAnsi="Times New Roman" w:cs="Times New Roman"/>
                <w:sz w:val="24"/>
                <w:szCs w:val="24"/>
              </w:rPr>
            </w:pPr>
            <w:r w:rsidRPr="006F41A6">
              <w:rPr>
                <w:rFonts w:ascii="Times New Roman" w:hAnsi="Times New Roman" w:cs="Times New Roman"/>
                <w:sz w:val="24"/>
                <w:szCs w:val="24"/>
              </w:rPr>
              <w:t xml:space="preserve">Каких положительных эффектов следует ожидать в случае принятия данного проекта? </w:t>
            </w:r>
            <w:r w:rsidR="005F0478" w:rsidRPr="006F41A6">
              <w:rPr>
                <w:rFonts w:ascii="Times New Roman" w:hAnsi="Times New Roman" w:cs="Times New Roman"/>
                <w:sz w:val="24"/>
                <w:szCs w:val="24"/>
              </w:rPr>
              <w:br/>
            </w:r>
            <w:r w:rsidRPr="006F41A6">
              <w:rPr>
                <w:rFonts w:ascii="Times New Roman" w:hAnsi="Times New Roman" w:cs="Times New Roman"/>
                <w:sz w:val="24"/>
                <w:szCs w:val="24"/>
              </w:rPr>
              <w:t>По возможности, приведите числовые данные.</w:t>
            </w:r>
          </w:p>
        </w:tc>
      </w:tr>
      <w:tr w:rsidR="005751E7" w:rsidRPr="006F41A6" w14:paraId="21237F33" w14:textId="77777777" w:rsidTr="00851415">
        <w:trPr>
          <w:cantSplit/>
        </w:trPr>
        <w:tc>
          <w:tcPr>
            <w:tcW w:w="10065" w:type="dxa"/>
            <w:tcMar>
              <w:top w:w="113" w:type="dxa"/>
              <w:bottom w:w="113" w:type="dxa"/>
            </w:tcMar>
          </w:tcPr>
          <w:p w14:paraId="6FB58105" w14:textId="77777777" w:rsidR="005751E7" w:rsidRPr="006F41A6" w:rsidRDefault="001424EB" w:rsidP="00851415">
            <w:pPr>
              <w:jc w:val="both"/>
              <w:rPr>
                <w:rFonts w:ascii="Times New Roman" w:hAnsi="Times New Roman" w:cs="Times New Roman"/>
                <w:sz w:val="24"/>
                <w:szCs w:val="24"/>
              </w:rPr>
            </w:pPr>
            <w:r w:rsidRPr="006F41A6">
              <w:rPr>
                <w:rFonts w:ascii="Times New Roman" w:hAnsi="Times New Roman" w:cs="Times New Roman"/>
                <w:sz w:val="24"/>
                <w:szCs w:val="24"/>
              </w:rPr>
              <w:t>Положительные эффекты от принятия данного законопроекта отсутствуют.</w:t>
            </w:r>
          </w:p>
        </w:tc>
      </w:tr>
      <w:tr w:rsidR="006C6D6A" w:rsidRPr="006F41A6" w14:paraId="73FCC62F" w14:textId="77777777" w:rsidTr="00851415">
        <w:trPr>
          <w:cantSplit/>
        </w:trPr>
        <w:tc>
          <w:tcPr>
            <w:tcW w:w="10065" w:type="dxa"/>
            <w:shd w:val="clear" w:color="auto" w:fill="F2F2F2" w:themeFill="background1" w:themeFillShade="F2"/>
            <w:tcMar>
              <w:top w:w="113" w:type="dxa"/>
              <w:bottom w:w="113" w:type="dxa"/>
            </w:tcMar>
          </w:tcPr>
          <w:p w14:paraId="69D38E08" w14:textId="77777777" w:rsidR="00C52C24" w:rsidRPr="006F41A6" w:rsidRDefault="005751E7" w:rsidP="00851415">
            <w:pPr>
              <w:jc w:val="both"/>
              <w:rPr>
                <w:rFonts w:ascii="Times New Roman" w:hAnsi="Times New Roman" w:cs="Times New Roman"/>
                <w:sz w:val="24"/>
                <w:szCs w:val="24"/>
              </w:rPr>
            </w:pPr>
            <w:r w:rsidRPr="006F41A6">
              <w:rPr>
                <w:rFonts w:ascii="Times New Roman" w:hAnsi="Times New Roman" w:cs="Times New Roman"/>
                <w:sz w:val="24"/>
                <w:szCs w:val="24"/>
              </w:rPr>
              <w:t>Какие риски и негативные последствия для бизнеса могут возникнуть в случае принятия данного проекта? По возможности, приведите числовые данные.</w:t>
            </w:r>
            <w:r w:rsidR="005F0478" w:rsidRPr="006F41A6">
              <w:rPr>
                <w:rFonts w:ascii="Times New Roman" w:hAnsi="Times New Roman" w:cs="Times New Roman"/>
                <w:sz w:val="24"/>
                <w:szCs w:val="24"/>
              </w:rPr>
              <w:t xml:space="preserve"> </w:t>
            </w:r>
            <w:r w:rsidR="00C52C24" w:rsidRPr="006F41A6">
              <w:rPr>
                <w:rFonts w:ascii="Times New Roman" w:hAnsi="Times New Roman" w:cs="Times New Roman"/>
                <w:sz w:val="24"/>
                <w:szCs w:val="24"/>
              </w:rPr>
              <w:t>Согласны ли Вы с выводами разработчика, изложенными в сводном отчете?</w:t>
            </w:r>
          </w:p>
        </w:tc>
      </w:tr>
      <w:tr w:rsidR="006C6D6A" w:rsidRPr="006F41A6" w14:paraId="4B33341B" w14:textId="77777777" w:rsidTr="00851415">
        <w:tc>
          <w:tcPr>
            <w:tcW w:w="10065" w:type="dxa"/>
            <w:tcMar>
              <w:top w:w="113" w:type="dxa"/>
              <w:bottom w:w="113" w:type="dxa"/>
            </w:tcMar>
          </w:tcPr>
          <w:p w14:paraId="434BEDE3" w14:textId="77777777" w:rsidR="00CF59A5" w:rsidRPr="006F41A6" w:rsidRDefault="00CF59A5" w:rsidP="00851415">
            <w:pPr>
              <w:jc w:val="both"/>
              <w:rPr>
                <w:rFonts w:ascii="Times New Roman" w:hAnsi="Times New Roman" w:cs="Times New Roman"/>
                <w:sz w:val="24"/>
                <w:szCs w:val="24"/>
              </w:rPr>
            </w:pPr>
            <w:r w:rsidRPr="006F41A6">
              <w:rPr>
                <w:rFonts w:ascii="Times New Roman" w:hAnsi="Times New Roman" w:cs="Times New Roman"/>
                <w:sz w:val="24"/>
                <w:szCs w:val="24"/>
              </w:rPr>
              <w:t>Полагаем, что принятие законопроектов приведет к блокированию всей текущей операционной и инвестиционной деятельности регулируемых организаций и их контрагентов, а также полностью исключит стимулы для привлечения инвестиций в регулируемые сферы деятельности.</w:t>
            </w:r>
          </w:p>
          <w:p w14:paraId="52F1FE32" w14:textId="77777777" w:rsidR="00CF59A5" w:rsidRPr="006F41A6" w:rsidRDefault="00CF59A5" w:rsidP="00851415">
            <w:pPr>
              <w:jc w:val="both"/>
              <w:rPr>
                <w:rFonts w:ascii="Times New Roman" w:hAnsi="Times New Roman" w:cs="Times New Roman"/>
                <w:sz w:val="24"/>
                <w:szCs w:val="24"/>
              </w:rPr>
            </w:pPr>
          </w:p>
          <w:p w14:paraId="28B1B11D" w14:textId="43F678AA" w:rsidR="00CF59A5" w:rsidRDefault="00CF59A5" w:rsidP="00851415">
            <w:pPr>
              <w:jc w:val="center"/>
              <w:rPr>
                <w:rFonts w:ascii="Times New Roman" w:hAnsi="Times New Roman" w:cs="Times New Roman"/>
                <w:b/>
                <w:sz w:val="24"/>
                <w:szCs w:val="24"/>
              </w:rPr>
            </w:pPr>
            <w:r w:rsidRPr="006F41A6">
              <w:rPr>
                <w:rFonts w:ascii="Times New Roman" w:hAnsi="Times New Roman" w:cs="Times New Roman"/>
                <w:b/>
                <w:sz w:val="24"/>
                <w:szCs w:val="24"/>
              </w:rPr>
              <w:t>Замечания к Законопроекту «О внесении изменений в отдельные законодательные акты по вопросу совершенствования контроля (надзора) за деятельностью регулируемых организаций инфраструктурного комплекса» (далее – Законопроект)</w:t>
            </w:r>
          </w:p>
          <w:p w14:paraId="617FF26A" w14:textId="0483B27D" w:rsidR="003F4EE7" w:rsidRDefault="003F4EE7" w:rsidP="00851415">
            <w:pPr>
              <w:jc w:val="center"/>
              <w:rPr>
                <w:rFonts w:ascii="Times New Roman" w:hAnsi="Times New Roman" w:cs="Times New Roman"/>
                <w:b/>
                <w:sz w:val="24"/>
                <w:szCs w:val="24"/>
              </w:rPr>
            </w:pPr>
          </w:p>
          <w:p w14:paraId="10026447" w14:textId="63F8BBAA" w:rsidR="003F4EE7" w:rsidRDefault="003F4EE7" w:rsidP="003F4EE7">
            <w:pPr>
              <w:pStyle w:val="aa"/>
              <w:numPr>
                <w:ilvl w:val="0"/>
                <w:numId w:val="1"/>
              </w:numPr>
              <w:jc w:val="both"/>
              <w:rPr>
                <w:rFonts w:ascii="Times New Roman" w:hAnsi="Times New Roman" w:cs="Times New Roman"/>
                <w:i/>
                <w:sz w:val="24"/>
                <w:szCs w:val="24"/>
              </w:rPr>
            </w:pPr>
            <w:r w:rsidRPr="009E44BE">
              <w:rPr>
                <w:rFonts w:ascii="Times New Roman" w:hAnsi="Times New Roman" w:cs="Times New Roman"/>
                <w:i/>
                <w:sz w:val="24"/>
                <w:szCs w:val="24"/>
              </w:rPr>
              <w:t>Законопроект концептуально нарушает существующие принципы конкуренции.</w:t>
            </w:r>
          </w:p>
          <w:p w14:paraId="58444C30" w14:textId="58F3BE02" w:rsidR="003F4EE7" w:rsidRDefault="003F4EE7" w:rsidP="003F4EE7">
            <w:pPr>
              <w:pStyle w:val="aa"/>
              <w:ind w:left="927"/>
              <w:jc w:val="both"/>
              <w:rPr>
                <w:rFonts w:ascii="Times New Roman" w:hAnsi="Times New Roman" w:cs="Times New Roman"/>
                <w:i/>
                <w:sz w:val="24"/>
                <w:szCs w:val="24"/>
              </w:rPr>
            </w:pPr>
          </w:p>
          <w:p w14:paraId="6EE5EBD6" w14:textId="4EAE4EA8" w:rsidR="003F4EE7" w:rsidRPr="006F41A6" w:rsidRDefault="003F4EE7" w:rsidP="003F4EE7">
            <w:pPr>
              <w:ind w:firstLine="709"/>
              <w:jc w:val="both"/>
              <w:rPr>
                <w:rFonts w:ascii="Times New Roman" w:hAnsi="Times New Roman" w:cs="Times New Roman"/>
                <w:sz w:val="24"/>
                <w:szCs w:val="24"/>
              </w:rPr>
            </w:pPr>
            <w:r w:rsidRPr="006F41A6">
              <w:rPr>
                <w:rFonts w:ascii="Times New Roman" w:hAnsi="Times New Roman" w:cs="Times New Roman"/>
                <w:sz w:val="24"/>
                <w:szCs w:val="24"/>
              </w:rPr>
              <w:t>Стратегия развития конкуренции и антимонопольного регулирования в Российской Федерации на период 2013 – 2024 гг., утвержденная Президиумом ФАС России 03.07.2013</w:t>
            </w:r>
            <w:r>
              <w:rPr>
                <w:rFonts w:ascii="Times New Roman" w:hAnsi="Times New Roman" w:cs="Times New Roman"/>
                <w:sz w:val="24"/>
                <w:szCs w:val="24"/>
              </w:rPr>
              <w:t xml:space="preserve"> предусматривает с</w:t>
            </w:r>
            <w:r w:rsidRPr="006F41A6">
              <w:rPr>
                <w:rFonts w:ascii="Times New Roman" w:hAnsi="Times New Roman" w:cs="Times New Roman"/>
                <w:sz w:val="24"/>
                <w:szCs w:val="24"/>
              </w:rPr>
              <w:t>нижение административных барьеров, препятствующих развитию и сво</w:t>
            </w:r>
            <w:r>
              <w:rPr>
                <w:rFonts w:ascii="Times New Roman" w:hAnsi="Times New Roman" w:cs="Times New Roman"/>
                <w:sz w:val="24"/>
                <w:szCs w:val="24"/>
              </w:rPr>
              <w:t>бодному функционированию рынков</w:t>
            </w:r>
            <w:r w:rsidRPr="006F41A6">
              <w:rPr>
                <w:rFonts w:ascii="Times New Roman" w:hAnsi="Times New Roman" w:cs="Times New Roman"/>
                <w:sz w:val="24"/>
                <w:szCs w:val="24"/>
              </w:rPr>
              <w:t>.</w:t>
            </w:r>
          </w:p>
          <w:p w14:paraId="46CDB72F" w14:textId="6A22D89C" w:rsidR="003F4EE7" w:rsidRPr="006F41A6" w:rsidRDefault="003F4EE7" w:rsidP="003F4EE7">
            <w:pPr>
              <w:ind w:firstLine="709"/>
              <w:jc w:val="both"/>
              <w:rPr>
                <w:rFonts w:ascii="Times New Roman" w:hAnsi="Times New Roman" w:cs="Times New Roman"/>
                <w:sz w:val="24"/>
                <w:szCs w:val="24"/>
              </w:rPr>
            </w:pPr>
            <w:r>
              <w:rPr>
                <w:rFonts w:ascii="Times New Roman" w:hAnsi="Times New Roman" w:cs="Times New Roman"/>
                <w:sz w:val="24"/>
                <w:szCs w:val="24"/>
              </w:rPr>
              <w:t>Также, У</w:t>
            </w:r>
            <w:r w:rsidRPr="006F41A6">
              <w:rPr>
                <w:rFonts w:ascii="Times New Roman" w:hAnsi="Times New Roman" w:cs="Times New Roman"/>
                <w:sz w:val="24"/>
                <w:szCs w:val="24"/>
              </w:rPr>
              <w:t>каз Президента РФ от 21.12.2017 № 618 «Об основных направлениях государственной политики по развитию конкуренции» предписывает снижение издержек в масштабе национальной экономики (подпункт «в» пункта 2) и снижение издержек в деятельности организаций, осуществляющих регулируемые виды деятельности (подпункт «ж» пункта 2).</w:t>
            </w:r>
          </w:p>
          <w:p w14:paraId="5711967D" w14:textId="3DD29F3E" w:rsidR="00634D7C" w:rsidRDefault="00634D7C" w:rsidP="00634D7C">
            <w:pPr>
              <w:pStyle w:val="aa"/>
              <w:numPr>
                <w:ilvl w:val="0"/>
                <w:numId w:val="1"/>
              </w:numPr>
              <w:jc w:val="both"/>
              <w:rPr>
                <w:rFonts w:ascii="Times New Roman" w:hAnsi="Times New Roman" w:cs="Times New Roman"/>
                <w:i/>
                <w:sz w:val="24"/>
                <w:szCs w:val="24"/>
              </w:rPr>
            </w:pPr>
            <w:r>
              <w:rPr>
                <w:rFonts w:ascii="Times New Roman" w:hAnsi="Times New Roman" w:cs="Times New Roman"/>
                <w:i/>
                <w:sz w:val="24"/>
                <w:szCs w:val="24"/>
              </w:rPr>
              <w:lastRenderedPageBreak/>
              <w:t>В законопроекте отсутств</w:t>
            </w:r>
            <w:r w:rsidRPr="00AD40E5">
              <w:rPr>
                <w:rFonts w:ascii="Times New Roman" w:hAnsi="Times New Roman" w:cs="Times New Roman"/>
                <w:i/>
                <w:sz w:val="24"/>
                <w:szCs w:val="24"/>
              </w:rPr>
              <w:t>уют критерии неисполнения инвестиционной программы регулируемой организации.</w:t>
            </w:r>
          </w:p>
          <w:p w14:paraId="5433F453" w14:textId="77777777" w:rsidR="00634D7C" w:rsidRDefault="00634D7C" w:rsidP="00634D7C">
            <w:pPr>
              <w:pStyle w:val="aa"/>
              <w:ind w:left="927"/>
              <w:jc w:val="both"/>
              <w:rPr>
                <w:rFonts w:ascii="Times New Roman" w:hAnsi="Times New Roman" w:cs="Times New Roman"/>
                <w:i/>
                <w:sz w:val="24"/>
                <w:szCs w:val="24"/>
              </w:rPr>
            </w:pPr>
          </w:p>
          <w:p w14:paraId="58C72C20" w14:textId="1B8399B5" w:rsidR="00634D7C" w:rsidRDefault="00634D7C" w:rsidP="00634D7C">
            <w:pPr>
              <w:pStyle w:val="aa"/>
              <w:ind w:left="142" w:firstLine="567"/>
              <w:jc w:val="both"/>
              <w:rPr>
                <w:rFonts w:ascii="Times New Roman" w:hAnsi="Times New Roman" w:cs="Times New Roman"/>
                <w:sz w:val="24"/>
                <w:szCs w:val="24"/>
              </w:rPr>
            </w:pPr>
            <w:r w:rsidRPr="00AD40E5">
              <w:rPr>
                <w:rFonts w:ascii="Times New Roman" w:hAnsi="Times New Roman" w:cs="Times New Roman"/>
                <w:sz w:val="24"/>
                <w:szCs w:val="24"/>
              </w:rPr>
              <w:t>Законопроектом предполагается утверждение правил согласования и утверждения инвестиционных программ регулируемых организаций, а также порядка и критериев принятия уполномоченными органами государственного контроля (надзора) решений об исполнении инве</w:t>
            </w:r>
            <w:r>
              <w:rPr>
                <w:rFonts w:ascii="Times New Roman" w:hAnsi="Times New Roman" w:cs="Times New Roman"/>
                <w:sz w:val="24"/>
                <w:szCs w:val="24"/>
              </w:rPr>
              <w:t>стиционной программы. О</w:t>
            </w:r>
            <w:r w:rsidRPr="00AD40E5">
              <w:rPr>
                <w:rFonts w:ascii="Times New Roman" w:hAnsi="Times New Roman" w:cs="Times New Roman"/>
                <w:sz w:val="24"/>
                <w:szCs w:val="24"/>
              </w:rPr>
              <w:t>днако</w:t>
            </w:r>
            <w:r>
              <w:rPr>
                <w:rFonts w:ascii="Times New Roman" w:hAnsi="Times New Roman" w:cs="Times New Roman"/>
                <w:sz w:val="24"/>
                <w:szCs w:val="24"/>
              </w:rPr>
              <w:t xml:space="preserve"> указанные критерии  ни</w:t>
            </w:r>
            <w:r w:rsidRPr="00AD40E5">
              <w:rPr>
                <w:rFonts w:ascii="Times New Roman" w:hAnsi="Times New Roman" w:cs="Times New Roman"/>
                <w:sz w:val="24"/>
                <w:szCs w:val="24"/>
              </w:rPr>
              <w:t>как не конкретизируется самим Законопроектом.</w:t>
            </w:r>
          </w:p>
          <w:p w14:paraId="6BF4A4FC" w14:textId="77777777" w:rsidR="00634D7C" w:rsidRDefault="00634D7C" w:rsidP="00634D7C">
            <w:pPr>
              <w:pStyle w:val="aa"/>
              <w:ind w:left="142" w:firstLine="567"/>
              <w:jc w:val="both"/>
              <w:rPr>
                <w:rFonts w:ascii="Times New Roman" w:hAnsi="Times New Roman" w:cs="Times New Roman"/>
                <w:sz w:val="24"/>
                <w:szCs w:val="24"/>
              </w:rPr>
            </w:pPr>
            <w:r w:rsidRPr="001746C8">
              <w:rPr>
                <w:rFonts w:ascii="Times New Roman" w:hAnsi="Times New Roman" w:cs="Times New Roman"/>
                <w:sz w:val="24"/>
                <w:szCs w:val="24"/>
              </w:rPr>
              <w:t>Отсутствие в законопроекте четкого перечня критериев принятия уполномоченными органами государственного контроля (надзора) решений об исполнении инвестиционной программы несет неопределенность применения норм законопроекта и существуют риски того, что все организации, осуществляющие регулируемые виды деятельности в сфере теплоснабжения гарантированно попадают под санкции, связанные с неисполнением инвестиционной программы по итогам отчетного периода.</w:t>
            </w:r>
          </w:p>
          <w:p w14:paraId="236A3DD3" w14:textId="77777777" w:rsidR="00634D7C" w:rsidRDefault="00634D7C" w:rsidP="00634D7C">
            <w:pPr>
              <w:pStyle w:val="aa"/>
              <w:ind w:left="142" w:firstLine="567"/>
              <w:jc w:val="both"/>
              <w:rPr>
                <w:rFonts w:ascii="Times New Roman" w:hAnsi="Times New Roman" w:cs="Times New Roman"/>
                <w:sz w:val="24"/>
                <w:szCs w:val="24"/>
              </w:rPr>
            </w:pPr>
            <w:proofErr w:type="gramStart"/>
            <w:r>
              <w:rPr>
                <w:rFonts w:ascii="Times New Roman" w:hAnsi="Times New Roman" w:cs="Times New Roman"/>
                <w:sz w:val="24"/>
                <w:szCs w:val="24"/>
              </w:rPr>
              <w:t>Кроме того, п</w:t>
            </w:r>
            <w:r w:rsidRPr="00B4329C">
              <w:rPr>
                <w:rFonts w:ascii="Times New Roman" w:hAnsi="Times New Roman" w:cs="Times New Roman"/>
                <w:sz w:val="24"/>
                <w:szCs w:val="24"/>
              </w:rPr>
              <w:t>роектируемыми нормами подпункта «а» пункта 2 статьи 8 законопроекта предлагается в рамках осуществления государственного контроля (надзора) наделить уполномоченные органы государственного контроля (надзора) полномочиями по принятию решений об исполнении либо о неисполнении инвестиционной программы, что противоречит одному из основных принципов осуществления государственного контроля и надзора, принципу разделения контрольных (надзорных) полномочий и полномочий по реализации законодательства (в части принятия решения</w:t>
            </w:r>
            <w:proofErr w:type="gramEnd"/>
            <w:r w:rsidRPr="00B4329C">
              <w:rPr>
                <w:rFonts w:ascii="Times New Roman" w:hAnsi="Times New Roman" w:cs="Times New Roman"/>
                <w:sz w:val="24"/>
                <w:szCs w:val="24"/>
              </w:rPr>
              <w:t xml:space="preserve"> о подтверждения выполнения инвестиционных программ).</w:t>
            </w:r>
          </w:p>
          <w:p w14:paraId="4B63210D" w14:textId="339AA83E" w:rsidR="003F4EE7" w:rsidRPr="003F4EE7" w:rsidRDefault="003F4EE7" w:rsidP="00634D7C">
            <w:pPr>
              <w:pStyle w:val="aa"/>
              <w:ind w:left="927"/>
              <w:rPr>
                <w:rFonts w:ascii="Times New Roman" w:hAnsi="Times New Roman" w:cs="Times New Roman"/>
                <w:b/>
                <w:sz w:val="24"/>
                <w:szCs w:val="24"/>
              </w:rPr>
            </w:pPr>
          </w:p>
          <w:p w14:paraId="43E45D0F" w14:textId="77777777" w:rsidR="00292974" w:rsidRPr="006F41A6" w:rsidRDefault="00292974" w:rsidP="00851415">
            <w:pPr>
              <w:jc w:val="center"/>
              <w:rPr>
                <w:rFonts w:ascii="Times New Roman" w:hAnsi="Times New Roman" w:cs="Times New Roman"/>
                <w:b/>
                <w:sz w:val="24"/>
                <w:szCs w:val="24"/>
              </w:rPr>
            </w:pPr>
          </w:p>
          <w:p w14:paraId="0DEBC0B1" w14:textId="6940354A" w:rsidR="00634D7C" w:rsidRDefault="00634D7C" w:rsidP="00851415">
            <w:pPr>
              <w:pStyle w:val="aa"/>
              <w:numPr>
                <w:ilvl w:val="0"/>
                <w:numId w:val="1"/>
              </w:numPr>
              <w:jc w:val="both"/>
              <w:rPr>
                <w:rFonts w:ascii="Times New Roman" w:hAnsi="Times New Roman" w:cs="Times New Roman"/>
                <w:i/>
                <w:sz w:val="24"/>
                <w:szCs w:val="24"/>
              </w:rPr>
            </w:pPr>
            <w:r>
              <w:rPr>
                <w:rFonts w:ascii="Times New Roman" w:hAnsi="Times New Roman" w:cs="Times New Roman"/>
                <w:i/>
                <w:sz w:val="24"/>
                <w:szCs w:val="24"/>
              </w:rPr>
              <w:t xml:space="preserve">Введение механизма сопровождения средств с использованием </w:t>
            </w:r>
            <w:proofErr w:type="spellStart"/>
            <w:r>
              <w:rPr>
                <w:rFonts w:ascii="Times New Roman" w:hAnsi="Times New Roman" w:cs="Times New Roman"/>
                <w:i/>
                <w:sz w:val="24"/>
                <w:szCs w:val="24"/>
              </w:rPr>
              <w:t>спецчетов</w:t>
            </w:r>
            <w:proofErr w:type="spellEnd"/>
            <w:r>
              <w:rPr>
                <w:rFonts w:ascii="Times New Roman" w:hAnsi="Times New Roman" w:cs="Times New Roman"/>
                <w:i/>
                <w:sz w:val="24"/>
                <w:szCs w:val="24"/>
              </w:rPr>
              <w:t xml:space="preserve"> </w:t>
            </w:r>
            <w:r w:rsidR="00686357">
              <w:rPr>
                <w:rFonts w:ascii="Times New Roman" w:hAnsi="Times New Roman" w:cs="Times New Roman"/>
                <w:i/>
                <w:sz w:val="24"/>
                <w:szCs w:val="24"/>
              </w:rPr>
              <w:t>фактически исключит возможность эффективного управления</w:t>
            </w:r>
            <w:r w:rsidR="006A176F">
              <w:rPr>
                <w:rFonts w:ascii="Times New Roman" w:hAnsi="Times New Roman" w:cs="Times New Roman"/>
                <w:i/>
                <w:sz w:val="24"/>
                <w:szCs w:val="24"/>
              </w:rPr>
              <w:t xml:space="preserve"> </w:t>
            </w:r>
            <w:r w:rsidR="002B0C4C">
              <w:rPr>
                <w:rFonts w:ascii="Times New Roman" w:hAnsi="Times New Roman" w:cs="Times New Roman"/>
                <w:i/>
                <w:sz w:val="24"/>
                <w:szCs w:val="24"/>
              </w:rPr>
              <w:t xml:space="preserve">финансовой деятельностью </w:t>
            </w:r>
            <w:r w:rsidR="002B0C4C" w:rsidRPr="006F41A6">
              <w:rPr>
                <w:rFonts w:ascii="Times New Roman" w:hAnsi="Times New Roman" w:cs="Times New Roman"/>
                <w:i/>
                <w:sz w:val="24"/>
                <w:szCs w:val="24"/>
              </w:rPr>
              <w:t xml:space="preserve"> регулируемых организаций</w:t>
            </w:r>
            <w:r w:rsidR="00686357">
              <w:rPr>
                <w:rFonts w:ascii="Times New Roman" w:hAnsi="Times New Roman" w:cs="Times New Roman"/>
                <w:i/>
                <w:sz w:val="24"/>
                <w:szCs w:val="24"/>
              </w:rPr>
              <w:t>.</w:t>
            </w:r>
          </w:p>
          <w:p w14:paraId="74ECFD52" w14:textId="77777777" w:rsidR="006F41A6" w:rsidRPr="006F41A6" w:rsidRDefault="006F41A6" w:rsidP="006F41A6">
            <w:pPr>
              <w:ind w:firstLine="567"/>
              <w:jc w:val="both"/>
              <w:rPr>
                <w:rFonts w:ascii="Times New Roman" w:hAnsi="Times New Roman" w:cs="Times New Roman"/>
                <w:sz w:val="26"/>
                <w:szCs w:val="28"/>
              </w:rPr>
            </w:pPr>
          </w:p>
          <w:p w14:paraId="14F82C44" w14:textId="041E2793" w:rsidR="006A176F" w:rsidRDefault="006A176F" w:rsidP="006F41A6">
            <w:pPr>
              <w:ind w:firstLine="567"/>
              <w:jc w:val="both"/>
              <w:rPr>
                <w:rFonts w:ascii="Times New Roman" w:hAnsi="Times New Roman" w:cs="Times New Roman"/>
                <w:sz w:val="24"/>
                <w:szCs w:val="24"/>
              </w:rPr>
            </w:pPr>
            <w:r>
              <w:rPr>
                <w:rFonts w:ascii="Times New Roman" w:hAnsi="Times New Roman" w:cs="Times New Roman"/>
                <w:sz w:val="24"/>
                <w:szCs w:val="24"/>
              </w:rPr>
              <w:t>С принятием указанно</w:t>
            </w:r>
            <w:r w:rsidR="00674B78">
              <w:rPr>
                <w:rFonts w:ascii="Times New Roman" w:hAnsi="Times New Roman" w:cs="Times New Roman"/>
                <w:sz w:val="24"/>
                <w:szCs w:val="24"/>
              </w:rPr>
              <w:t>го</w:t>
            </w:r>
            <w:r>
              <w:rPr>
                <w:rFonts w:ascii="Times New Roman" w:hAnsi="Times New Roman" w:cs="Times New Roman"/>
                <w:sz w:val="24"/>
                <w:szCs w:val="24"/>
              </w:rPr>
              <w:t xml:space="preserve"> законопроекта привлечение частных инвестиций </w:t>
            </w:r>
            <w:r w:rsidRPr="006F41A6">
              <w:rPr>
                <w:rFonts w:ascii="Times New Roman" w:hAnsi="Times New Roman" w:cs="Times New Roman"/>
                <w:sz w:val="24"/>
                <w:szCs w:val="24"/>
              </w:rPr>
              <w:t xml:space="preserve"> в такие сферы как теплоснабжение, водоснабжение</w:t>
            </w:r>
            <w:r>
              <w:rPr>
                <w:rFonts w:ascii="Times New Roman" w:hAnsi="Times New Roman" w:cs="Times New Roman"/>
                <w:sz w:val="24"/>
                <w:szCs w:val="24"/>
              </w:rPr>
              <w:t xml:space="preserve"> становится</w:t>
            </w:r>
            <w:r w:rsidR="00674B78">
              <w:rPr>
                <w:rFonts w:ascii="Times New Roman" w:hAnsi="Times New Roman" w:cs="Times New Roman"/>
                <w:sz w:val="24"/>
                <w:szCs w:val="24"/>
              </w:rPr>
              <w:t xml:space="preserve"> нецелесообразным</w:t>
            </w:r>
            <w:r>
              <w:rPr>
                <w:rFonts w:ascii="Times New Roman" w:hAnsi="Times New Roman" w:cs="Times New Roman"/>
                <w:sz w:val="24"/>
                <w:szCs w:val="24"/>
              </w:rPr>
              <w:t>.</w:t>
            </w:r>
          </w:p>
          <w:p w14:paraId="13E0E61B" w14:textId="4B160ACD" w:rsidR="00674B78" w:rsidRDefault="00674B78" w:rsidP="006F41A6">
            <w:pPr>
              <w:ind w:firstLine="567"/>
              <w:jc w:val="both"/>
              <w:rPr>
                <w:rFonts w:ascii="Times New Roman" w:hAnsi="Times New Roman" w:cs="Times New Roman"/>
                <w:sz w:val="24"/>
                <w:szCs w:val="24"/>
              </w:rPr>
            </w:pPr>
            <w:r>
              <w:rPr>
                <w:rFonts w:ascii="Times New Roman" w:hAnsi="Times New Roman" w:cs="Times New Roman"/>
                <w:sz w:val="24"/>
                <w:szCs w:val="24"/>
              </w:rPr>
              <w:t xml:space="preserve">Ограничения, предусмотренные законопроектом, блокируют развитие отрасли чрезмерным и необоснованным </w:t>
            </w:r>
            <w:proofErr w:type="gramStart"/>
            <w:r>
              <w:rPr>
                <w:rFonts w:ascii="Times New Roman" w:hAnsi="Times New Roman" w:cs="Times New Roman"/>
                <w:sz w:val="24"/>
                <w:szCs w:val="24"/>
              </w:rPr>
              <w:t>контролем</w:t>
            </w:r>
            <w:r w:rsidRPr="006F41A6">
              <w:rPr>
                <w:rFonts w:ascii="Times New Roman" w:hAnsi="Times New Roman" w:cs="Times New Roman"/>
                <w:sz w:val="24"/>
                <w:szCs w:val="24"/>
              </w:rPr>
              <w:t xml:space="preserve"> за</w:t>
            </w:r>
            <w:proofErr w:type="gramEnd"/>
            <w:r w:rsidRPr="006F41A6">
              <w:rPr>
                <w:rFonts w:ascii="Times New Roman" w:hAnsi="Times New Roman" w:cs="Times New Roman"/>
                <w:sz w:val="24"/>
                <w:szCs w:val="24"/>
              </w:rPr>
              <w:t xml:space="preserve"> осуществлением обычной финансово-хозяйственной деятельности регулируемых организаций</w:t>
            </w:r>
          </w:p>
          <w:p w14:paraId="46199222" w14:textId="77777777" w:rsidR="006F41A6" w:rsidRDefault="006F41A6" w:rsidP="006F41A6">
            <w:pPr>
              <w:ind w:firstLine="567"/>
              <w:jc w:val="both"/>
              <w:rPr>
                <w:rFonts w:ascii="Times New Roman" w:hAnsi="Times New Roman" w:cs="Times New Roman"/>
                <w:sz w:val="24"/>
                <w:szCs w:val="24"/>
              </w:rPr>
            </w:pPr>
          </w:p>
          <w:p w14:paraId="6AB5F2B8" w14:textId="77777777" w:rsidR="00EC04E4" w:rsidRDefault="00EC04E4" w:rsidP="00AD40E5">
            <w:pPr>
              <w:pStyle w:val="aa"/>
              <w:ind w:left="142" w:firstLine="567"/>
              <w:jc w:val="both"/>
              <w:rPr>
                <w:rFonts w:ascii="Times New Roman" w:hAnsi="Times New Roman" w:cs="Times New Roman"/>
                <w:sz w:val="24"/>
                <w:szCs w:val="24"/>
              </w:rPr>
            </w:pPr>
          </w:p>
          <w:p w14:paraId="0ECCC113" w14:textId="137BF504" w:rsidR="00EC04E4" w:rsidRPr="00EC04E4" w:rsidRDefault="00EC04E4" w:rsidP="00EC04E4">
            <w:pPr>
              <w:pStyle w:val="aa"/>
              <w:numPr>
                <w:ilvl w:val="0"/>
                <w:numId w:val="1"/>
              </w:numPr>
              <w:jc w:val="both"/>
              <w:rPr>
                <w:rFonts w:ascii="Times New Roman" w:hAnsi="Times New Roman" w:cs="Times New Roman"/>
                <w:i/>
                <w:sz w:val="24"/>
                <w:szCs w:val="24"/>
              </w:rPr>
            </w:pPr>
            <w:r w:rsidRPr="00EC04E4">
              <w:rPr>
                <w:rFonts w:ascii="Times New Roman" w:hAnsi="Times New Roman" w:cs="Times New Roman"/>
                <w:i/>
                <w:sz w:val="24"/>
                <w:szCs w:val="24"/>
              </w:rPr>
              <w:t>В законопроекте присутствуют избыточные и дубли</w:t>
            </w:r>
            <w:r w:rsidR="0058597F">
              <w:rPr>
                <w:rFonts w:ascii="Times New Roman" w:hAnsi="Times New Roman" w:cs="Times New Roman"/>
                <w:i/>
                <w:sz w:val="24"/>
                <w:szCs w:val="24"/>
              </w:rPr>
              <w:t>рующее действующее законодательст</w:t>
            </w:r>
            <w:r w:rsidRPr="00EC04E4">
              <w:rPr>
                <w:rFonts w:ascii="Times New Roman" w:hAnsi="Times New Roman" w:cs="Times New Roman"/>
                <w:i/>
                <w:sz w:val="24"/>
                <w:szCs w:val="24"/>
              </w:rPr>
              <w:t>во положения в части распределения прибыли регулируемой организации.</w:t>
            </w:r>
          </w:p>
          <w:p w14:paraId="5E1EFE3A" w14:textId="1F1F1AE4" w:rsidR="00EC04E4" w:rsidRPr="00AD40E5" w:rsidRDefault="00EC04E4" w:rsidP="00EC04E4">
            <w:pPr>
              <w:pStyle w:val="aa"/>
              <w:ind w:left="22" w:firstLine="709"/>
              <w:jc w:val="both"/>
              <w:rPr>
                <w:rFonts w:ascii="Times New Roman" w:hAnsi="Times New Roman" w:cs="Times New Roman"/>
                <w:sz w:val="24"/>
                <w:szCs w:val="24"/>
              </w:rPr>
            </w:pPr>
            <w:r w:rsidRPr="00EC04E4">
              <w:rPr>
                <w:rFonts w:ascii="Times New Roman" w:hAnsi="Times New Roman" w:cs="Times New Roman"/>
                <w:sz w:val="24"/>
                <w:szCs w:val="24"/>
              </w:rPr>
              <w:t>Порядок распределения прибыли в акционерных обществах, обществах с ограниченной ответственность регулируется гражданским законодательством и законодательством о соответствующих видах юридических лиц и не может быть урегулирован отраслевыми законами. Соответствующие разделы должны быть исключены </w:t>
            </w:r>
            <w:r>
              <w:rPr>
                <w:rFonts w:ascii="Times New Roman" w:hAnsi="Times New Roman" w:cs="Times New Roman"/>
                <w:sz w:val="24"/>
                <w:szCs w:val="24"/>
              </w:rPr>
              <w:t xml:space="preserve"> из законопроекта.</w:t>
            </w:r>
          </w:p>
          <w:p w14:paraId="23A7AA34" w14:textId="77777777" w:rsidR="00CF59A5" w:rsidRPr="006F41A6" w:rsidRDefault="00CF59A5" w:rsidP="00851415">
            <w:pPr>
              <w:jc w:val="both"/>
              <w:rPr>
                <w:rFonts w:ascii="Times New Roman" w:hAnsi="Times New Roman" w:cs="Times New Roman"/>
                <w:b/>
                <w:sz w:val="24"/>
                <w:szCs w:val="24"/>
              </w:rPr>
            </w:pPr>
          </w:p>
          <w:p w14:paraId="7239477B" w14:textId="77777777" w:rsidR="00CF59A5" w:rsidRPr="006F41A6" w:rsidRDefault="00CF59A5" w:rsidP="00851415">
            <w:pPr>
              <w:numPr>
                <w:ilvl w:val="0"/>
                <w:numId w:val="1"/>
              </w:numPr>
              <w:jc w:val="both"/>
              <w:rPr>
                <w:rFonts w:ascii="Times New Roman" w:hAnsi="Times New Roman" w:cs="Times New Roman"/>
                <w:i/>
                <w:sz w:val="24"/>
                <w:szCs w:val="24"/>
              </w:rPr>
            </w:pPr>
            <w:r w:rsidRPr="006F41A6">
              <w:rPr>
                <w:rFonts w:ascii="Times New Roman" w:hAnsi="Times New Roman" w:cs="Times New Roman"/>
                <w:i/>
                <w:sz w:val="24"/>
                <w:szCs w:val="24"/>
              </w:rPr>
              <w:t xml:space="preserve">Создаваемая система контроля расходов регулируемых организаций и ее зависимость от выполнения или невыполнения инвестиционных программ будет фактически дублировать действующую систему контроля в рамках тарифного регулирования и фактически парализует своевременное исполнение инвестиционных программ. </w:t>
            </w:r>
          </w:p>
          <w:p w14:paraId="1A783B89" w14:textId="77777777" w:rsidR="00CF59A5" w:rsidRPr="006F41A6" w:rsidRDefault="00CF59A5" w:rsidP="006F41A6">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В настоящее время во всех регулируемых сферах деятельности существуют механизмы </w:t>
            </w:r>
            <w:r w:rsidRPr="006F41A6">
              <w:rPr>
                <w:rFonts w:ascii="Times New Roman" w:hAnsi="Times New Roman" w:cs="Times New Roman"/>
                <w:sz w:val="24"/>
                <w:szCs w:val="24"/>
              </w:rPr>
              <w:lastRenderedPageBreak/>
              <w:t>исключения из тарифной выручки средств, использованных в предыдущем периоде нецелевым образом, либо снижения тарифной выручки с учетом невыполнения целевых показателей инвестиционной программы, снижения показателей надежности и энергоэффективности (в тепле), качества (в воде) предоставляемых ресурсов. В случае</w:t>
            </w:r>
            <w:proofErr w:type="gramStart"/>
            <w:r w:rsidRPr="006F41A6">
              <w:rPr>
                <w:rFonts w:ascii="Times New Roman" w:hAnsi="Times New Roman" w:cs="Times New Roman"/>
                <w:sz w:val="24"/>
                <w:szCs w:val="24"/>
              </w:rPr>
              <w:t>,</w:t>
            </w:r>
            <w:proofErr w:type="gramEnd"/>
            <w:r w:rsidRPr="006F41A6">
              <w:rPr>
                <w:rFonts w:ascii="Times New Roman" w:hAnsi="Times New Roman" w:cs="Times New Roman"/>
                <w:sz w:val="24"/>
                <w:szCs w:val="24"/>
              </w:rPr>
              <w:t xml:space="preserve"> если нецелевое использование средств привело к нарушению надежности </w:t>
            </w:r>
            <w:proofErr w:type="spellStart"/>
            <w:r w:rsidRPr="006F41A6">
              <w:rPr>
                <w:rFonts w:ascii="Times New Roman" w:hAnsi="Times New Roman" w:cs="Times New Roman"/>
                <w:sz w:val="24"/>
                <w:szCs w:val="24"/>
              </w:rPr>
              <w:t>ресурсоснабжения</w:t>
            </w:r>
            <w:proofErr w:type="spellEnd"/>
            <w:r w:rsidRPr="006F41A6">
              <w:rPr>
                <w:rFonts w:ascii="Times New Roman" w:hAnsi="Times New Roman" w:cs="Times New Roman"/>
                <w:sz w:val="24"/>
                <w:szCs w:val="24"/>
              </w:rPr>
              <w:t xml:space="preserve"> и/или безопасности потребителей, законодательством предусмотрены меры финансовой, административной и уголовной ответственности. </w:t>
            </w:r>
          </w:p>
          <w:p w14:paraId="1190C85F" w14:textId="77777777" w:rsidR="00CF59A5" w:rsidRPr="006F41A6" w:rsidRDefault="00CF59A5" w:rsidP="006F41A6">
            <w:pPr>
              <w:ind w:firstLine="709"/>
              <w:jc w:val="both"/>
              <w:rPr>
                <w:rFonts w:ascii="Times New Roman" w:hAnsi="Times New Roman" w:cs="Times New Roman"/>
                <w:sz w:val="24"/>
                <w:szCs w:val="24"/>
              </w:rPr>
            </w:pPr>
            <w:r w:rsidRPr="006F41A6">
              <w:rPr>
                <w:rFonts w:ascii="Times New Roman" w:hAnsi="Times New Roman" w:cs="Times New Roman"/>
                <w:sz w:val="24"/>
                <w:szCs w:val="24"/>
              </w:rPr>
              <w:t>Введение в такой ситуации дополнительно контроля целевого использования сре</w:t>
            </w:r>
            <w:proofErr w:type="gramStart"/>
            <w:r w:rsidRPr="006F41A6">
              <w:rPr>
                <w:rFonts w:ascii="Times New Roman" w:hAnsi="Times New Roman" w:cs="Times New Roman"/>
                <w:sz w:val="24"/>
                <w:szCs w:val="24"/>
              </w:rPr>
              <w:t>дств в р</w:t>
            </w:r>
            <w:proofErr w:type="gramEnd"/>
            <w:r w:rsidRPr="006F41A6">
              <w:rPr>
                <w:rFonts w:ascii="Times New Roman" w:hAnsi="Times New Roman" w:cs="Times New Roman"/>
                <w:sz w:val="24"/>
                <w:szCs w:val="24"/>
              </w:rPr>
              <w:t xml:space="preserve">ежиме реального времени через специальные счета в территориальных органах Федерального казначейства  не только станет избыточной  административной нагрузкой на бизнес, но и приведет к фактическому блокированию текущей деятельности не только Регулируемых организаций, но и их контрагентов. </w:t>
            </w:r>
          </w:p>
          <w:p w14:paraId="7A639091" w14:textId="77777777" w:rsidR="00CF59A5" w:rsidRPr="006F41A6" w:rsidRDefault="00CF59A5" w:rsidP="006F41A6">
            <w:pPr>
              <w:ind w:firstLine="709"/>
              <w:jc w:val="both"/>
              <w:rPr>
                <w:rFonts w:ascii="Times New Roman" w:hAnsi="Times New Roman" w:cs="Times New Roman"/>
                <w:i/>
                <w:sz w:val="24"/>
                <w:szCs w:val="24"/>
              </w:rPr>
            </w:pPr>
            <w:r w:rsidRPr="006F41A6">
              <w:rPr>
                <w:rFonts w:ascii="Times New Roman" w:hAnsi="Times New Roman" w:cs="Times New Roman"/>
                <w:sz w:val="24"/>
                <w:szCs w:val="24"/>
              </w:rPr>
              <w:t xml:space="preserve">Необходимость открытия </w:t>
            </w:r>
            <w:proofErr w:type="spellStart"/>
            <w:r w:rsidRPr="006F41A6">
              <w:rPr>
                <w:rFonts w:ascii="Times New Roman" w:hAnsi="Times New Roman" w:cs="Times New Roman"/>
                <w:sz w:val="24"/>
                <w:szCs w:val="24"/>
              </w:rPr>
              <w:t>спец</w:t>
            </w:r>
            <w:proofErr w:type="gramStart"/>
            <w:r w:rsidRPr="006F41A6">
              <w:rPr>
                <w:rFonts w:ascii="Times New Roman" w:hAnsi="Times New Roman" w:cs="Times New Roman"/>
                <w:sz w:val="24"/>
                <w:szCs w:val="24"/>
              </w:rPr>
              <w:t>.с</w:t>
            </w:r>
            <w:proofErr w:type="gramEnd"/>
            <w:r w:rsidRPr="006F41A6">
              <w:rPr>
                <w:rFonts w:ascii="Times New Roman" w:hAnsi="Times New Roman" w:cs="Times New Roman"/>
                <w:sz w:val="24"/>
                <w:szCs w:val="24"/>
              </w:rPr>
              <w:t>чета</w:t>
            </w:r>
            <w:proofErr w:type="spellEnd"/>
            <w:r w:rsidRPr="006F41A6">
              <w:rPr>
                <w:rFonts w:ascii="Times New Roman" w:hAnsi="Times New Roman" w:cs="Times New Roman"/>
                <w:sz w:val="24"/>
                <w:szCs w:val="24"/>
              </w:rPr>
              <w:t xml:space="preserve">, жесткие ограничения назначения платежа,  проверка Казначейством каждой операции по </w:t>
            </w:r>
            <w:proofErr w:type="spellStart"/>
            <w:r w:rsidRPr="006F41A6">
              <w:rPr>
                <w:rFonts w:ascii="Times New Roman" w:hAnsi="Times New Roman" w:cs="Times New Roman"/>
                <w:sz w:val="24"/>
                <w:szCs w:val="24"/>
              </w:rPr>
              <w:t>спец.счету</w:t>
            </w:r>
            <w:proofErr w:type="spellEnd"/>
            <w:r w:rsidRPr="006F41A6">
              <w:rPr>
                <w:rFonts w:ascii="Times New Roman" w:hAnsi="Times New Roman" w:cs="Times New Roman"/>
                <w:sz w:val="24"/>
                <w:szCs w:val="24"/>
              </w:rPr>
              <w:t xml:space="preserve"> и ее возможная блокировка, а также возможность обжалования решений Казначейства только в судебном порядке приведут фактически к коллапсу исполнения Регулируемой организацией договорных обязательств и обязательств по инвестиционным программам. </w:t>
            </w:r>
          </w:p>
          <w:p w14:paraId="58AE0362" w14:textId="77777777" w:rsidR="00CF59A5" w:rsidRPr="006F41A6" w:rsidRDefault="00CF59A5" w:rsidP="006F41A6">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Кроме того, указанные ограничения ввиду затягивания сроков исполнения инвестиционных программ приведут к замкнутому циклу. Законопроектом предусматривается продление на 2 календарных года периода, на который открыт </w:t>
            </w:r>
            <w:proofErr w:type="spellStart"/>
            <w:r w:rsidRPr="006F41A6">
              <w:rPr>
                <w:rFonts w:ascii="Times New Roman" w:hAnsi="Times New Roman" w:cs="Times New Roman"/>
                <w:sz w:val="24"/>
                <w:szCs w:val="24"/>
              </w:rPr>
              <w:t>спец</w:t>
            </w:r>
            <w:proofErr w:type="gramStart"/>
            <w:r w:rsidRPr="006F41A6">
              <w:rPr>
                <w:rFonts w:ascii="Times New Roman" w:hAnsi="Times New Roman" w:cs="Times New Roman"/>
                <w:sz w:val="24"/>
                <w:szCs w:val="24"/>
              </w:rPr>
              <w:t>.с</w:t>
            </w:r>
            <w:proofErr w:type="gramEnd"/>
            <w:r w:rsidRPr="006F41A6">
              <w:rPr>
                <w:rFonts w:ascii="Times New Roman" w:hAnsi="Times New Roman" w:cs="Times New Roman"/>
                <w:sz w:val="24"/>
                <w:szCs w:val="24"/>
              </w:rPr>
              <w:t>чет</w:t>
            </w:r>
            <w:proofErr w:type="spellEnd"/>
            <w:r w:rsidRPr="006F41A6">
              <w:rPr>
                <w:rFonts w:ascii="Times New Roman" w:hAnsi="Times New Roman" w:cs="Times New Roman"/>
                <w:sz w:val="24"/>
                <w:szCs w:val="24"/>
              </w:rPr>
              <w:t>, в случае выдачи повторного предписания об устранении нарушений ввиду неисполнения инвестиционной программы. То есть фактически Регулируемая организация не сможет выйти из замкнутого круга неисполнения инвестиционной программы.</w:t>
            </w:r>
          </w:p>
          <w:p w14:paraId="26C4B86B" w14:textId="77777777" w:rsidR="00CF59A5" w:rsidRPr="006F41A6" w:rsidRDefault="00CF59A5" w:rsidP="00851415">
            <w:pPr>
              <w:jc w:val="both"/>
              <w:rPr>
                <w:rFonts w:ascii="Times New Roman" w:hAnsi="Times New Roman" w:cs="Times New Roman"/>
                <w:sz w:val="24"/>
                <w:szCs w:val="24"/>
              </w:rPr>
            </w:pPr>
          </w:p>
          <w:p w14:paraId="63E3B756" w14:textId="738ED7BF" w:rsidR="008500A6" w:rsidRDefault="008500A6" w:rsidP="00851415">
            <w:pPr>
              <w:numPr>
                <w:ilvl w:val="0"/>
                <w:numId w:val="1"/>
              </w:numPr>
              <w:jc w:val="both"/>
              <w:rPr>
                <w:rFonts w:ascii="Times New Roman" w:hAnsi="Times New Roman" w:cs="Times New Roman"/>
                <w:i/>
                <w:sz w:val="24"/>
                <w:szCs w:val="24"/>
              </w:rPr>
            </w:pPr>
            <w:r>
              <w:rPr>
                <w:rFonts w:ascii="Times New Roman" w:hAnsi="Times New Roman" w:cs="Times New Roman"/>
                <w:i/>
                <w:sz w:val="24"/>
                <w:szCs w:val="24"/>
              </w:rPr>
              <w:t xml:space="preserve">Завышенные </w:t>
            </w:r>
            <w:r w:rsidR="00281695">
              <w:rPr>
                <w:rFonts w:ascii="Times New Roman" w:hAnsi="Times New Roman" w:cs="Times New Roman"/>
                <w:i/>
                <w:sz w:val="24"/>
                <w:szCs w:val="24"/>
              </w:rPr>
              <w:t xml:space="preserve"> и обременительные требования к</w:t>
            </w:r>
            <w:r w:rsidRPr="008500A6">
              <w:rPr>
                <w:rFonts w:ascii="Times New Roman" w:hAnsi="Times New Roman" w:cs="Times New Roman"/>
                <w:i/>
                <w:sz w:val="24"/>
                <w:szCs w:val="24"/>
              </w:rPr>
              <w:t xml:space="preserve"> контрагента</w:t>
            </w:r>
            <w:r w:rsidR="00281695">
              <w:rPr>
                <w:rFonts w:ascii="Times New Roman" w:hAnsi="Times New Roman" w:cs="Times New Roman"/>
                <w:i/>
                <w:sz w:val="24"/>
                <w:szCs w:val="24"/>
              </w:rPr>
              <w:t xml:space="preserve">м  регулируемой </w:t>
            </w:r>
            <w:r w:rsidR="00281695" w:rsidRPr="00281695">
              <w:rPr>
                <w:rFonts w:ascii="Times New Roman" w:hAnsi="Times New Roman" w:cs="Times New Roman"/>
                <w:i/>
                <w:sz w:val="24"/>
                <w:szCs w:val="24"/>
              </w:rPr>
              <w:t>организации</w:t>
            </w:r>
            <w:r w:rsidRPr="008500A6">
              <w:rPr>
                <w:rFonts w:ascii="Times New Roman" w:hAnsi="Times New Roman" w:cs="Times New Roman"/>
                <w:i/>
                <w:sz w:val="24"/>
                <w:szCs w:val="24"/>
              </w:rPr>
              <w:t>, а также субподрядчикам этих контрагентов</w:t>
            </w:r>
            <w:r>
              <w:rPr>
                <w:rFonts w:ascii="Times New Roman" w:hAnsi="Times New Roman" w:cs="Times New Roman"/>
                <w:i/>
                <w:sz w:val="24"/>
                <w:szCs w:val="24"/>
              </w:rPr>
              <w:t>.</w:t>
            </w:r>
            <w:r w:rsidRPr="008500A6">
              <w:rPr>
                <w:rFonts w:ascii="Times New Roman" w:hAnsi="Times New Roman" w:cs="Times New Roman"/>
                <w:i/>
                <w:sz w:val="24"/>
                <w:szCs w:val="24"/>
              </w:rPr>
              <w:t xml:space="preserve"> </w:t>
            </w:r>
            <w:r>
              <w:rPr>
                <w:rFonts w:ascii="Times New Roman" w:hAnsi="Times New Roman" w:cs="Times New Roman"/>
                <w:i/>
                <w:sz w:val="24"/>
                <w:szCs w:val="24"/>
              </w:rPr>
              <w:t xml:space="preserve">  </w:t>
            </w:r>
          </w:p>
          <w:p w14:paraId="49F7BEEF" w14:textId="77777777" w:rsidR="00A711BF" w:rsidRPr="00FD0CBD" w:rsidRDefault="00A711BF" w:rsidP="00A711BF">
            <w:pPr>
              <w:ind w:left="927"/>
              <w:jc w:val="both"/>
              <w:rPr>
                <w:rFonts w:ascii="Times New Roman" w:hAnsi="Times New Roman" w:cs="Times New Roman"/>
                <w:i/>
                <w:sz w:val="24"/>
                <w:szCs w:val="24"/>
              </w:rPr>
            </w:pPr>
          </w:p>
          <w:p w14:paraId="31FD4F9C" w14:textId="77777777" w:rsidR="00CF59A5" w:rsidRPr="006F41A6" w:rsidRDefault="00CF59A5" w:rsidP="008500A6">
            <w:pPr>
              <w:ind w:firstLine="709"/>
              <w:jc w:val="both"/>
              <w:rPr>
                <w:rFonts w:ascii="Times New Roman" w:hAnsi="Times New Roman" w:cs="Times New Roman"/>
                <w:sz w:val="24"/>
                <w:szCs w:val="24"/>
              </w:rPr>
            </w:pPr>
            <w:r w:rsidRPr="008500A6">
              <w:rPr>
                <w:rFonts w:ascii="Times New Roman" w:hAnsi="Times New Roman" w:cs="Times New Roman"/>
                <w:sz w:val="24"/>
                <w:szCs w:val="24"/>
              </w:rPr>
              <w:t>Законопроект устанавл</w:t>
            </w:r>
            <w:r w:rsidR="00281695">
              <w:rPr>
                <w:rFonts w:ascii="Times New Roman" w:hAnsi="Times New Roman" w:cs="Times New Roman"/>
                <w:sz w:val="24"/>
                <w:szCs w:val="24"/>
              </w:rPr>
              <w:t>ивает обязанности контрагентов р</w:t>
            </w:r>
            <w:r w:rsidRPr="008500A6">
              <w:rPr>
                <w:rFonts w:ascii="Times New Roman" w:hAnsi="Times New Roman" w:cs="Times New Roman"/>
                <w:sz w:val="24"/>
                <w:szCs w:val="24"/>
              </w:rPr>
              <w:t>егулируемых организаций и их субподрядчиков открыть в Казначействе лицевые счета для получения денежных средств со спец. счета</w:t>
            </w:r>
            <w:r w:rsidR="00281695">
              <w:rPr>
                <w:rFonts w:ascii="Times New Roman" w:hAnsi="Times New Roman" w:cs="Times New Roman"/>
                <w:sz w:val="24"/>
                <w:szCs w:val="24"/>
              </w:rPr>
              <w:t xml:space="preserve"> р</w:t>
            </w:r>
            <w:r w:rsidRPr="008500A6">
              <w:rPr>
                <w:rFonts w:ascii="Times New Roman" w:hAnsi="Times New Roman" w:cs="Times New Roman"/>
                <w:sz w:val="24"/>
                <w:szCs w:val="24"/>
              </w:rPr>
              <w:t>егулируемой организации.</w:t>
            </w:r>
            <w:r w:rsidR="008500A6">
              <w:rPr>
                <w:rFonts w:ascii="Times New Roman" w:hAnsi="Times New Roman" w:cs="Times New Roman"/>
                <w:sz w:val="24"/>
                <w:szCs w:val="24"/>
              </w:rPr>
              <w:t xml:space="preserve"> </w:t>
            </w:r>
            <w:r w:rsidRPr="006F41A6">
              <w:rPr>
                <w:rFonts w:ascii="Times New Roman" w:hAnsi="Times New Roman" w:cs="Times New Roman"/>
                <w:sz w:val="24"/>
                <w:szCs w:val="24"/>
              </w:rPr>
              <w:t>Таким образом, даже обычные юридиче</w:t>
            </w:r>
            <w:r w:rsidR="00281695">
              <w:rPr>
                <w:rFonts w:ascii="Times New Roman" w:hAnsi="Times New Roman" w:cs="Times New Roman"/>
                <w:sz w:val="24"/>
                <w:szCs w:val="24"/>
              </w:rPr>
              <w:t>ские лица, взаимодействующие с р</w:t>
            </w:r>
            <w:r w:rsidRPr="006F41A6">
              <w:rPr>
                <w:rFonts w:ascii="Times New Roman" w:hAnsi="Times New Roman" w:cs="Times New Roman"/>
                <w:sz w:val="24"/>
                <w:szCs w:val="24"/>
              </w:rPr>
              <w:t>егулируемыми организациями, также будут осуществлять расчеты через Казначейство.</w:t>
            </w:r>
          </w:p>
          <w:p w14:paraId="5DE3E6B1" w14:textId="77777777" w:rsidR="00CF59A5" w:rsidRDefault="00CF59A5" w:rsidP="006F41A6">
            <w:pPr>
              <w:ind w:firstLine="709"/>
              <w:jc w:val="both"/>
              <w:rPr>
                <w:rFonts w:ascii="Times New Roman" w:hAnsi="Times New Roman" w:cs="Times New Roman"/>
                <w:sz w:val="24"/>
                <w:szCs w:val="24"/>
              </w:rPr>
            </w:pPr>
            <w:r w:rsidRPr="006F41A6">
              <w:rPr>
                <w:rFonts w:ascii="Times New Roman" w:hAnsi="Times New Roman" w:cs="Times New Roman"/>
                <w:sz w:val="24"/>
                <w:szCs w:val="24"/>
              </w:rPr>
              <w:t>При этом не допускается перечисление денежных сре</w:t>
            </w:r>
            <w:proofErr w:type="gramStart"/>
            <w:r w:rsidRPr="006F41A6">
              <w:rPr>
                <w:rFonts w:ascii="Times New Roman" w:hAnsi="Times New Roman" w:cs="Times New Roman"/>
                <w:sz w:val="24"/>
                <w:szCs w:val="24"/>
              </w:rPr>
              <w:t>дств с л</w:t>
            </w:r>
            <w:proofErr w:type="gramEnd"/>
            <w:r w:rsidRPr="006F41A6">
              <w:rPr>
                <w:rFonts w:ascii="Times New Roman" w:hAnsi="Times New Roman" w:cs="Times New Roman"/>
                <w:sz w:val="24"/>
                <w:szCs w:val="24"/>
              </w:rPr>
              <w:t>ицевых счетов контрагент</w:t>
            </w:r>
            <w:r w:rsidR="005A6893">
              <w:rPr>
                <w:rFonts w:ascii="Times New Roman" w:hAnsi="Times New Roman" w:cs="Times New Roman"/>
                <w:sz w:val="24"/>
                <w:szCs w:val="24"/>
              </w:rPr>
              <w:t>ов р</w:t>
            </w:r>
            <w:r w:rsidRPr="006F41A6">
              <w:rPr>
                <w:rFonts w:ascii="Times New Roman" w:hAnsi="Times New Roman" w:cs="Times New Roman"/>
                <w:sz w:val="24"/>
                <w:szCs w:val="24"/>
              </w:rPr>
              <w:t xml:space="preserve">егулируемой организации по договорам субподряда без предоставления определенных документов (их копий). </w:t>
            </w:r>
          </w:p>
          <w:p w14:paraId="0B15F809" w14:textId="77777777" w:rsidR="006F41A6" w:rsidRPr="006B0EA0" w:rsidRDefault="006F41A6" w:rsidP="006F41A6">
            <w:pPr>
              <w:ind w:firstLine="709"/>
              <w:jc w:val="both"/>
              <w:rPr>
                <w:rFonts w:ascii="Times New Roman" w:hAnsi="Times New Roman" w:cs="Times New Roman"/>
                <w:sz w:val="24"/>
                <w:szCs w:val="24"/>
              </w:rPr>
            </w:pPr>
            <w:proofErr w:type="gramStart"/>
            <w:r w:rsidRPr="006B0EA0">
              <w:rPr>
                <w:rFonts w:ascii="Times New Roman" w:hAnsi="Times New Roman" w:cs="Times New Roman"/>
                <w:sz w:val="24"/>
                <w:szCs w:val="24"/>
              </w:rPr>
              <w:t>Считаем,</w:t>
            </w:r>
            <w:r w:rsidR="005A6893" w:rsidRPr="006B0EA0">
              <w:rPr>
                <w:rFonts w:ascii="Times New Roman" w:hAnsi="Times New Roman" w:cs="Times New Roman"/>
                <w:sz w:val="24"/>
                <w:szCs w:val="24"/>
              </w:rPr>
              <w:t xml:space="preserve"> что данное</w:t>
            </w:r>
            <w:r w:rsidRPr="006B0EA0">
              <w:rPr>
                <w:rFonts w:ascii="Times New Roman" w:hAnsi="Times New Roman" w:cs="Times New Roman"/>
                <w:sz w:val="24"/>
                <w:szCs w:val="24"/>
              </w:rPr>
              <w:t xml:space="preserve"> требование об открытии лицевых счетов в территориальном органе Федерального казначейства для осуществления расчетов с регулируемой организации всеми ее контрагентами, а также субподрядчикам этих контрагентов по исполнению обязательств перед регулируемой организации являются завышенными, и устанавливают обременительные требования к регулируемой организации при осуществлении ее деятельности в части отношений с контрагентами и субподрядчиками, а также трудновыполнимые и обременительные требования к</w:t>
            </w:r>
            <w:proofErr w:type="gramEnd"/>
            <w:r w:rsidRPr="006B0EA0">
              <w:rPr>
                <w:rFonts w:ascii="Times New Roman" w:hAnsi="Times New Roman" w:cs="Times New Roman"/>
                <w:sz w:val="24"/>
                <w:szCs w:val="24"/>
              </w:rPr>
              <w:t xml:space="preserve"> контрагентам и субподрядчикам регулируемой организации.</w:t>
            </w:r>
          </w:p>
          <w:p w14:paraId="64D91BAD" w14:textId="77777777" w:rsidR="00281695" w:rsidRDefault="006F41A6" w:rsidP="00281695">
            <w:pPr>
              <w:ind w:firstLine="709"/>
              <w:jc w:val="both"/>
              <w:rPr>
                <w:rFonts w:ascii="Times New Roman" w:hAnsi="Times New Roman" w:cs="Times New Roman"/>
                <w:sz w:val="24"/>
                <w:szCs w:val="24"/>
              </w:rPr>
            </w:pPr>
            <w:r w:rsidRPr="006B0EA0">
              <w:rPr>
                <w:rFonts w:ascii="Times New Roman" w:hAnsi="Times New Roman" w:cs="Times New Roman"/>
                <w:sz w:val="24"/>
                <w:szCs w:val="24"/>
              </w:rPr>
              <w:t>Вместе с тем, необходимость открытия лицевых счетов</w:t>
            </w:r>
            <w:r w:rsidR="00281695" w:rsidRPr="006B0EA0">
              <w:rPr>
                <w:rFonts w:ascii="Times New Roman" w:hAnsi="Times New Roman" w:cs="Times New Roman"/>
                <w:sz w:val="24"/>
                <w:szCs w:val="24"/>
              </w:rPr>
              <w:t xml:space="preserve"> в казначействе</w:t>
            </w:r>
            <w:r w:rsidRPr="006B0EA0">
              <w:rPr>
                <w:rFonts w:ascii="Times New Roman" w:hAnsi="Times New Roman" w:cs="Times New Roman"/>
                <w:sz w:val="24"/>
                <w:szCs w:val="24"/>
              </w:rPr>
              <w:t xml:space="preserve"> подрядным</w:t>
            </w:r>
            <w:r w:rsidR="00281695" w:rsidRPr="006B0EA0">
              <w:rPr>
                <w:rFonts w:ascii="Times New Roman" w:hAnsi="Times New Roman" w:cs="Times New Roman"/>
                <w:sz w:val="24"/>
                <w:szCs w:val="24"/>
              </w:rPr>
              <w:t>и</w:t>
            </w:r>
            <w:r w:rsidRPr="006B0EA0">
              <w:rPr>
                <w:rFonts w:ascii="Times New Roman" w:hAnsi="Times New Roman" w:cs="Times New Roman"/>
                <w:sz w:val="24"/>
                <w:szCs w:val="24"/>
              </w:rPr>
              <w:t xml:space="preserve"> организациям, включая субподрядные, приведет к потере интереса указанных организаций к заключению договоров с</w:t>
            </w:r>
            <w:r w:rsidR="00281695" w:rsidRPr="006B0EA0">
              <w:rPr>
                <w:rFonts w:ascii="Times New Roman" w:hAnsi="Times New Roman" w:cs="Times New Roman"/>
                <w:sz w:val="24"/>
                <w:szCs w:val="24"/>
              </w:rPr>
              <w:t xml:space="preserve"> регулируемой организацией</w:t>
            </w:r>
            <w:r w:rsidRPr="006B0EA0">
              <w:rPr>
                <w:rFonts w:ascii="Times New Roman" w:hAnsi="Times New Roman" w:cs="Times New Roman"/>
                <w:sz w:val="24"/>
                <w:szCs w:val="24"/>
              </w:rPr>
              <w:t xml:space="preserve">, </w:t>
            </w:r>
            <w:proofErr w:type="gramStart"/>
            <w:r w:rsidRPr="006B0EA0">
              <w:rPr>
                <w:rFonts w:ascii="Times New Roman" w:hAnsi="Times New Roman" w:cs="Times New Roman"/>
                <w:sz w:val="24"/>
                <w:szCs w:val="24"/>
              </w:rPr>
              <w:t>в следствие</w:t>
            </w:r>
            <w:proofErr w:type="gramEnd"/>
            <w:r w:rsidRPr="006B0EA0">
              <w:rPr>
                <w:rFonts w:ascii="Times New Roman" w:hAnsi="Times New Roman" w:cs="Times New Roman"/>
                <w:sz w:val="24"/>
                <w:szCs w:val="24"/>
              </w:rPr>
              <w:t xml:space="preserve"> необходимости представления большого количества документов и затрат времени на проведение дополнительных операций как для</w:t>
            </w:r>
            <w:r w:rsidR="00281695" w:rsidRPr="006B0EA0">
              <w:rPr>
                <w:rFonts w:ascii="Times New Roman" w:hAnsi="Times New Roman" w:cs="Times New Roman"/>
                <w:sz w:val="24"/>
                <w:szCs w:val="24"/>
              </w:rPr>
              <w:t xml:space="preserve"> регулируемой организации</w:t>
            </w:r>
            <w:r w:rsidRPr="006B0EA0">
              <w:rPr>
                <w:rFonts w:ascii="Times New Roman" w:hAnsi="Times New Roman" w:cs="Times New Roman"/>
                <w:sz w:val="24"/>
                <w:szCs w:val="24"/>
              </w:rPr>
              <w:t>, так и для подрядных организаций, а также сложности с получением заемных средств.</w:t>
            </w:r>
            <w:r w:rsidR="00281695">
              <w:rPr>
                <w:rFonts w:ascii="Times New Roman" w:hAnsi="Times New Roman" w:cs="Times New Roman"/>
                <w:sz w:val="24"/>
                <w:szCs w:val="24"/>
              </w:rPr>
              <w:t xml:space="preserve"> </w:t>
            </w:r>
            <w:r w:rsidR="00281695" w:rsidRPr="006F41A6">
              <w:rPr>
                <w:rFonts w:ascii="Times New Roman" w:hAnsi="Times New Roman" w:cs="Times New Roman"/>
                <w:sz w:val="24"/>
                <w:szCs w:val="24"/>
              </w:rPr>
              <w:t xml:space="preserve"> При этом ни исчерпывающий перечень указанных документов, ни порядок их оформления и предоставления Законопроектом </w:t>
            </w:r>
            <w:r w:rsidR="00281695" w:rsidRPr="006F41A6">
              <w:rPr>
                <w:rFonts w:ascii="Times New Roman" w:hAnsi="Times New Roman" w:cs="Times New Roman"/>
                <w:sz w:val="24"/>
                <w:szCs w:val="24"/>
              </w:rPr>
              <w:lastRenderedPageBreak/>
              <w:t xml:space="preserve">не предусмотрены. Таким образом, риски контрагентов Регулируемых организаций и их субподрядчиков будут транслированы в стоимость соответствующих товаров и услуг. </w:t>
            </w:r>
          </w:p>
          <w:p w14:paraId="7807B4B4" w14:textId="77777777" w:rsidR="006F41A6" w:rsidRPr="006F41A6" w:rsidRDefault="006F41A6" w:rsidP="006F41A6">
            <w:pPr>
              <w:ind w:firstLine="709"/>
              <w:jc w:val="both"/>
              <w:rPr>
                <w:rFonts w:ascii="Times New Roman" w:hAnsi="Times New Roman" w:cs="Times New Roman"/>
                <w:sz w:val="24"/>
                <w:szCs w:val="24"/>
              </w:rPr>
            </w:pPr>
          </w:p>
          <w:p w14:paraId="5AAC5D11" w14:textId="77777777" w:rsidR="00851415" w:rsidRPr="006F41A6" w:rsidRDefault="00851415" w:rsidP="00851415">
            <w:pPr>
              <w:jc w:val="both"/>
              <w:rPr>
                <w:rFonts w:ascii="Times New Roman" w:hAnsi="Times New Roman" w:cs="Times New Roman"/>
                <w:b/>
                <w:sz w:val="24"/>
                <w:szCs w:val="24"/>
              </w:rPr>
            </w:pPr>
          </w:p>
          <w:p w14:paraId="217B42CC" w14:textId="3D4AA691" w:rsidR="00CF59A5" w:rsidRPr="006F41A6" w:rsidRDefault="00017F7A" w:rsidP="00851415">
            <w:pPr>
              <w:jc w:val="both"/>
              <w:rPr>
                <w:rFonts w:ascii="Times New Roman" w:hAnsi="Times New Roman" w:cs="Times New Roman"/>
                <w:i/>
                <w:sz w:val="24"/>
                <w:szCs w:val="24"/>
              </w:rPr>
            </w:pPr>
            <w:r>
              <w:rPr>
                <w:rFonts w:ascii="Times New Roman" w:hAnsi="Times New Roman" w:cs="Times New Roman"/>
                <w:i/>
                <w:sz w:val="24"/>
                <w:szCs w:val="24"/>
              </w:rPr>
              <w:t>7</w:t>
            </w:r>
            <w:r w:rsidR="00CF59A5" w:rsidRPr="006F41A6">
              <w:rPr>
                <w:rFonts w:ascii="Times New Roman" w:hAnsi="Times New Roman" w:cs="Times New Roman"/>
                <w:i/>
                <w:sz w:val="24"/>
                <w:szCs w:val="24"/>
              </w:rPr>
              <w:t xml:space="preserve">. Использование предлагаемого механизма </w:t>
            </w:r>
            <w:proofErr w:type="spellStart"/>
            <w:r w:rsidR="00CF59A5" w:rsidRPr="006F41A6">
              <w:rPr>
                <w:rFonts w:ascii="Times New Roman" w:hAnsi="Times New Roman" w:cs="Times New Roman"/>
                <w:i/>
                <w:sz w:val="24"/>
                <w:szCs w:val="24"/>
              </w:rPr>
              <w:t>спец</w:t>
            </w:r>
            <w:proofErr w:type="gramStart"/>
            <w:r w:rsidR="00CF59A5" w:rsidRPr="006F41A6">
              <w:rPr>
                <w:rFonts w:ascii="Times New Roman" w:hAnsi="Times New Roman" w:cs="Times New Roman"/>
                <w:i/>
                <w:sz w:val="24"/>
                <w:szCs w:val="24"/>
              </w:rPr>
              <w:t>.с</w:t>
            </w:r>
            <w:proofErr w:type="gramEnd"/>
            <w:r w:rsidR="00CF59A5" w:rsidRPr="006F41A6">
              <w:rPr>
                <w:rFonts w:ascii="Times New Roman" w:hAnsi="Times New Roman" w:cs="Times New Roman"/>
                <w:i/>
                <w:sz w:val="24"/>
                <w:szCs w:val="24"/>
              </w:rPr>
              <w:t>четов</w:t>
            </w:r>
            <w:proofErr w:type="spellEnd"/>
            <w:r w:rsidR="00CF59A5" w:rsidRPr="006F41A6">
              <w:rPr>
                <w:rFonts w:ascii="Times New Roman" w:hAnsi="Times New Roman" w:cs="Times New Roman"/>
                <w:i/>
                <w:sz w:val="24"/>
                <w:szCs w:val="24"/>
              </w:rPr>
              <w:t xml:space="preserve"> разрушает централизованную систему расчетов на оптовом рынке электроэнергии (мощности).</w:t>
            </w:r>
          </w:p>
          <w:p w14:paraId="10BE5BFC" w14:textId="77777777" w:rsidR="00CF59A5" w:rsidRPr="006F41A6" w:rsidRDefault="00CF59A5" w:rsidP="005A6893">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Законопроектом предусматривается открытие </w:t>
            </w:r>
            <w:proofErr w:type="spellStart"/>
            <w:r w:rsidRPr="006F41A6">
              <w:rPr>
                <w:rFonts w:ascii="Times New Roman" w:hAnsi="Times New Roman" w:cs="Times New Roman"/>
                <w:sz w:val="24"/>
                <w:szCs w:val="24"/>
              </w:rPr>
              <w:t>спец</w:t>
            </w:r>
            <w:proofErr w:type="gramStart"/>
            <w:r w:rsidRPr="006F41A6">
              <w:rPr>
                <w:rFonts w:ascii="Times New Roman" w:hAnsi="Times New Roman" w:cs="Times New Roman"/>
                <w:sz w:val="24"/>
                <w:szCs w:val="24"/>
              </w:rPr>
              <w:t>.с</w:t>
            </w:r>
            <w:proofErr w:type="gramEnd"/>
            <w:r w:rsidRPr="006F41A6">
              <w:rPr>
                <w:rFonts w:ascii="Times New Roman" w:hAnsi="Times New Roman" w:cs="Times New Roman"/>
                <w:sz w:val="24"/>
                <w:szCs w:val="24"/>
              </w:rPr>
              <w:t>четов</w:t>
            </w:r>
            <w:proofErr w:type="spellEnd"/>
            <w:r w:rsidRPr="006F41A6">
              <w:rPr>
                <w:rFonts w:ascii="Times New Roman" w:hAnsi="Times New Roman" w:cs="Times New Roman"/>
                <w:sz w:val="24"/>
                <w:szCs w:val="24"/>
              </w:rPr>
              <w:t xml:space="preserve"> всеми регулируемыми организациями, в т.ч. поставщиками  оптового рынка (у них заключены регулируемые договоры поставки электроэнергии и мощности).</w:t>
            </w:r>
          </w:p>
          <w:p w14:paraId="71DB9E26" w14:textId="77777777" w:rsidR="00CF59A5" w:rsidRPr="006F41A6" w:rsidRDefault="00CF59A5" w:rsidP="005A6893">
            <w:pPr>
              <w:ind w:firstLine="709"/>
              <w:jc w:val="both"/>
              <w:rPr>
                <w:rFonts w:ascii="Times New Roman" w:hAnsi="Times New Roman" w:cs="Times New Roman"/>
                <w:sz w:val="24"/>
                <w:szCs w:val="24"/>
              </w:rPr>
            </w:pPr>
            <w:r w:rsidRPr="006F41A6">
              <w:rPr>
                <w:rFonts w:ascii="Times New Roman" w:hAnsi="Times New Roman" w:cs="Times New Roman"/>
                <w:sz w:val="24"/>
                <w:szCs w:val="24"/>
              </w:rPr>
              <w:t>Однако на оптовом рынке успешно действует своя централизованная система расчетов,  которая не соотносится с предлагаемым Законопроектом механизмом спец. счетов.</w:t>
            </w:r>
          </w:p>
          <w:p w14:paraId="114EFC36" w14:textId="77777777" w:rsidR="00CF59A5" w:rsidRPr="006F41A6" w:rsidRDefault="00CF59A5" w:rsidP="005A6893">
            <w:pPr>
              <w:ind w:firstLine="709"/>
              <w:jc w:val="both"/>
              <w:rPr>
                <w:rFonts w:ascii="Times New Roman" w:hAnsi="Times New Roman" w:cs="Times New Roman"/>
                <w:sz w:val="24"/>
                <w:szCs w:val="24"/>
              </w:rPr>
            </w:pPr>
            <w:r w:rsidRPr="006F41A6">
              <w:rPr>
                <w:rFonts w:ascii="Times New Roman" w:hAnsi="Times New Roman" w:cs="Times New Roman"/>
                <w:sz w:val="24"/>
                <w:szCs w:val="24"/>
              </w:rPr>
              <w:t>Таким образом, годами сложившаяся и работающая без сбоев система сбора платежей на оптовом рынке будет полностью реформирована, что приведет к росту дебиторской задолженности и, соответственно, снижению надежности энергосистемы в целом.</w:t>
            </w:r>
          </w:p>
          <w:p w14:paraId="1E2E6661" w14:textId="77777777" w:rsidR="00CF59A5" w:rsidRPr="006F41A6" w:rsidRDefault="00CF59A5" w:rsidP="00851415">
            <w:pPr>
              <w:jc w:val="both"/>
              <w:rPr>
                <w:rFonts w:ascii="Times New Roman" w:hAnsi="Times New Roman" w:cs="Times New Roman"/>
                <w:i/>
                <w:sz w:val="24"/>
                <w:szCs w:val="24"/>
              </w:rPr>
            </w:pPr>
          </w:p>
          <w:p w14:paraId="751A6B01" w14:textId="01E13D83" w:rsidR="00CF59A5" w:rsidRPr="006F41A6" w:rsidRDefault="00017F7A" w:rsidP="00851415">
            <w:pPr>
              <w:jc w:val="both"/>
              <w:rPr>
                <w:rFonts w:ascii="Times New Roman" w:hAnsi="Times New Roman" w:cs="Times New Roman"/>
                <w:i/>
                <w:sz w:val="24"/>
                <w:szCs w:val="24"/>
              </w:rPr>
            </w:pPr>
            <w:r>
              <w:rPr>
                <w:rFonts w:ascii="Times New Roman" w:hAnsi="Times New Roman" w:cs="Times New Roman"/>
                <w:i/>
                <w:sz w:val="24"/>
                <w:szCs w:val="24"/>
              </w:rPr>
              <w:t>8</w:t>
            </w:r>
            <w:r w:rsidR="00CF59A5" w:rsidRPr="006F41A6">
              <w:rPr>
                <w:rFonts w:ascii="Times New Roman" w:hAnsi="Times New Roman" w:cs="Times New Roman"/>
                <w:i/>
                <w:sz w:val="24"/>
                <w:szCs w:val="24"/>
              </w:rPr>
              <w:t xml:space="preserve">. Действие Законопроекта неизбежно затронет также и нерегулируемую деятельность. </w:t>
            </w:r>
          </w:p>
          <w:p w14:paraId="1188086B" w14:textId="77777777"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В частности, в структуре единого платежа конечного потребителя за электроэнергию на розничном рынке содержатся как регулируемые составляющие (сбытовая надбавка, услуги по передаче, услуги коммерческого оператора, регулируемые надбавки к оптовой цене), так и нерегулируемые (поставка электроэнергии и мощности по свободным ценам). </w:t>
            </w:r>
          </w:p>
          <w:p w14:paraId="2AB79883" w14:textId="77777777"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Учитывая наличие регулируемой составляющей,  наиболее  вероятно, что такие платежи будут соответствовать формальным требованиям для зачисления на спец. счет ГП (энергосбытовой организации). После этого неизбежно будут подлежать контролю все расходные операции, в том числе – и в сфере свободной торговли электроэнергии с возможными затруднениями по перечислению соответствующих средств поставщикам ГП (энергосбытовой организации).</w:t>
            </w:r>
          </w:p>
          <w:p w14:paraId="60629070" w14:textId="77777777"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При этом Казначейство, на которое возлагаются полномочия по проверке операций по </w:t>
            </w:r>
            <w:proofErr w:type="spellStart"/>
            <w:r w:rsidRPr="006F41A6">
              <w:rPr>
                <w:rFonts w:ascii="Times New Roman" w:hAnsi="Times New Roman" w:cs="Times New Roman"/>
                <w:sz w:val="24"/>
                <w:szCs w:val="24"/>
              </w:rPr>
              <w:t>спец</w:t>
            </w:r>
            <w:proofErr w:type="gramStart"/>
            <w:r w:rsidRPr="006F41A6">
              <w:rPr>
                <w:rFonts w:ascii="Times New Roman" w:hAnsi="Times New Roman" w:cs="Times New Roman"/>
                <w:sz w:val="24"/>
                <w:szCs w:val="24"/>
              </w:rPr>
              <w:t>.с</w:t>
            </w:r>
            <w:proofErr w:type="gramEnd"/>
            <w:r w:rsidRPr="006F41A6">
              <w:rPr>
                <w:rFonts w:ascii="Times New Roman" w:hAnsi="Times New Roman" w:cs="Times New Roman"/>
                <w:sz w:val="24"/>
                <w:szCs w:val="24"/>
              </w:rPr>
              <w:t>чету</w:t>
            </w:r>
            <w:proofErr w:type="spellEnd"/>
            <w:r w:rsidRPr="006F41A6">
              <w:rPr>
                <w:rFonts w:ascii="Times New Roman" w:hAnsi="Times New Roman" w:cs="Times New Roman"/>
                <w:sz w:val="24"/>
                <w:szCs w:val="24"/>
              </w:rPr>
              <w:t xml:space="preserve">, не несет ответственность за убытки, причиненные субъекту электроэнергетики от ограничения распоряжения средствами со </w:t>
            </w:r>
            <w:proofErr w:type="spellStart"/>
            <w:r w:rsidRPr="006F41A6">
              <w:rPr>
                <w:rFonts w:ascii="Times New Roman" w:hAnsi="Times New Roman" w:cs="Times New Roman"/>
                <w:sz w:val="24"/>
                <w:szCs w:val="24"/>
              </w:rPr>
              <w:t>спец.счета</w:t>
            </w:r>
            <w:proofErr w:type="spellEnd"/>
            <w:r w:rsidRPr="006F41A6">
              <w:rPr>
                <w:rFonts w:ascii="Times New Roman" w:hAnsi="Times New Roman" w:cs="Times New Roman"/>
                <w:sz w:val="24"/>
                <w:szCs w:val="24"/>
              </w:rPr>
              <w:t>.</w:t>
            </w:r>
          </w:p>
          <w:p w14:paraId="404BF107" w14:textId="77777777" w:rsidR="00CF59A5" w:rsidRPr="006F41A6" w:rsidRDefault="00CF59A5" w:rsidP="00851415">
            <w:pPr>
              <w:jc w:val="both"/>
              <w:rPr>
                <w:rFonts w:ascii="Times New Roman" w:hAnsi="Times New Roman" w:cs="Times New Roman"/>
                <w:sz w:val="24"/>
                <w:szCs w:val="24"/>
              </w:rPr>
            </w:pPr>
          </w:p>
          <w:p w14:paraId="3C6A794D" w14:textId="0BD4E6C1" w:rsidR="00CF59A5" w:rsidRPr="006F41A6" w:rsidRDefault="00017F7A" w:rsidP="00851415">
            <w:pPr>
              <w:jc w:val="both"/>
              <w:rPr>
                <w:rFonts w:ascii="Times New Roman" w:hAnsi="Times New Roman" w:cs="Times New Roman"/>
                <w:i/>
                <w:sz w:val="24"/>
                <w:szCs w:val="24"/>
              </w:rPr>
            </w:pPr>
            <w:r>
              <w:rPr>
                <w:rFonts w:ascii="Times New Roman" w:hAnsi="Times New Roman" w:cs="Times New Roman"/>
                <w:i/>
                <w:sz w:val="24"/>
                <w:szCs w:val="24"/>
              </w:rPr>
              <w:t>9</w:t>
            </w:r>
            <w:r w:rsidR="00CF59A5" w:rsidRPr="006F41A6">
              <w:rPr>
                <w:rFonts w:ascii="Times New Roman" w:hAnsi="Times New Roman" w:cs="Times New Roman"/>
                <w:i/>
                <w:sz w:val="24"/>
                <w:szCs w:val="24"/>
              </w:rPr>
              <w:t>. В сфере электроэнергетики создаваемая система контроля расходов Регулируемых организаций также дополнительно будет дублировать только что введенную систему лицензирования энергосбытовой деятельности.</w:t>
            </w:r>
          </w:p>
          <w:p w14:paraId="5BBC5E0E" w14:textId="77777777"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Федеральным законом от 29.12.2017 № 451-ФЗ были внесены изменения в Федеральный закон «Об электроэнергетике»,  установившие обязательное лицензирование энергосбытовой деятельности.</w:t>
            </w:r>
          </w:p>
          <w:p w14:paraId="64712C2E" w14:textId="77777777"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К лицензионным требованиям отнесено обязательное выполнение субъектами определенных показателей финансового состояния и финансовой дисциплины, которые формируются исходя из уровня исполнения субъектами электроэнергетики обязательств по оплате приобретенных товаров (услуг), уровня общей кредиторской задолженности, просроченной кредиторской задолженности и т.п. </w:t>
            </w:r>
          </w:p>
          <w:p w14:paraId="64B8CC88" w14:textId="77777777"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Проверка соблюдения указанных финансовых показателей  направлена на исключение случаев неправомерного использования субъектами доходов от энергосбытовой деятельности. То есть, фактически, цели введения лицензирования энергосбытовой деятельности аналогичны предлагаемой Законопроектом обязанности использования субъектами </w:t>
            </w:r>
            <w:proofErr w:type="spellStart"/>
            <w:r w:rsidRPr="006F41A6">
              <w:rPr>
                <w:rFonts w:ascii="Times New Roman" w:hAnsi="Times New Roman" w:cs="Times New Roman"/>
                <w:sz w:val="24"/>
                <w:szCs w:val="24"/>
              </w:rPr>
              <w:t>элекроэнергетики</w:t>
            </w:r>
            <w:proofErr w:type="spellEnd"/>
            <w:r w:rsidRPr="006F41A6">
              <w:rPr>
                <w:rFonts w:ascii="Times New Roman" w:hAnsi="Times New Roman" w:cs="Times New Roman"/>
                <w:sz w:val="24"/>
                <w:szCs w:val="24"/>
              </w:rPr>
              <w:t xml:space="preserve"> специальных счетов.</w:t>
            </w:r>
          </w:p>
          <w:p w14:paraId="208B65DC" w14:textId="20121D28" w:rsidR="00CF59A5"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Таким образом, введение специальных счетов в сфере электроэнергетики будет свидетельствовать о непоследовательности и отсутствии стратегического планирования в законодательном регулировании указанной сферы. </w:t>
            </w:r>
          </w:p>
          <w:p w14:paraId="71F5450B" w14:textId="77777777" w:rsidR="00017F7A" w:rsidRPr="006F41A6" w:rsidRDefault="00017F7A" w:rsidP="003326A0">
            <w:pPr>
              <w:ind w:firstLine="709"/>
              <w:jc w:val="both"/>
              <w:rPr>
                <w:rFonts w:ascii="Times New Roman" w:hAnsi="Times New Roman" w:cs="Times New Roman"/>
                <w:sz w:val="24"/>
                <w:szCs w:val="24"/>
              </w:rPr>
            </w:pPr>
          </w:p>
          <w:p w14:paraId="15493905" w14:textId="53452E68" w:rsidR="00CF59A5" w:rsidRPr="006F41A6" w:rsidRDefault="00017F7A" w:rsidP="00851415">
            <w:pPr>
              <w:jc w:val="both"/>
              <w:rPr>
                <w:rFonts w:ascii="Times New Roman" w:hAnsi="Times New Roman" w:cs="Times New Roman"/>
                <w:i/>
                <w:sz w:val="24"/>
                <w:szCs w:val="24"/>
              </w:rPr>
            </w:pPr>
            <w:r>
              <w:rPr>
                <w:rFonts w:ascii="Times New Roman" w:hAnsi="Times New Roman" w:cs="Times New Roman"/>
                <w:sz w:val="24"/>
                <w:szCs w:val="24"/>
              </w:rPr>
              <w:t>10</w:t>
            </w:r>
            <w:r w:rsidR="00CF59A5" w:rsidRPr="006F41A6">
              <w:rPr>
                <w:rFonts w:ascii="Times New Roman" w:hAnsi="Times New Roman" w:cs="Times New Roman"/>
                <w:i/>
                <w:sz w:val="24"/>
                <w:szCs w:val="24"/>
              </w:rPr>
              <w:t>. Законопроект ограничивает осуществление расчетов с привлечением платежных агентов.</w:t>
            </w:r>
          </w:p>
          <w:p w14:paraId="351D3F5F" w14:textId="77777777"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В соответствии с Законопроектом Регулируемые организации могут иметь только один спец. счет для осуществления расчетов по всем регулируемым видам деятельности. </w:t>
            </w:r>
          </w:p>
          <w:p w14:paraId="3E14EF16" w14:textId="4FAF8AA2"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Вместе с тем согласно ч. 18 ст. 4 Федерального закона от 03.06.2009 № 103-ФЗ </w:t>
            </w:r>
            <w:r w:rsidRPr="006F41A6">
              <w:rPr>
                <w:rFonts w:ascii="Times New Roman" w:hAnsi="Times New Roman" w:cs="Times New Roman"/>
                <w:sz w:val="24"/>
                <w:szCs w:val="24"/>
              </w:rPr>
              <w:br/>
              <w:t>«О деятельности по приему платежей физических лиц, осуществляемой платежными агентами» (далее – закон № 103-ФЗ) в случае привлечения регулируемым субъектом платежных агентов такой субъект как поставщик обязан использовать специальный</w:t>
            </w:r>
            <w:r w:rsidR="00BE2784">
              <w:rPr>
                <w:rFonts w:ascii="Times New Roman" w:hAnsi="Times New Roman" w:cs="Times New Roman"/>
                <w:sz w:val="24"/>
                <w:szCs w:val="24"/>
              </w:rPr>
              <w:t xml:space="preserve"> банковский счет. </w:t>
            </w:r>
            <w:r w:rsidRPr="006F41A6">
              <w:rPr>
                <w:rFonts w:ascii="Times New Roman" w:hAnsi="Times New Roman" w:cs="Times New Roman"/>
                <w:sz w:val="24"/>
                <w:szCs w:val="24"/>
              </w:rPr>
              <w:t>Возможность привлечения поставщиками коммунальных услуг (регулируемыми организациями) платежных агентов закреплена и в ч.15 ст. 155 ЖК РФ.</w:t>
            </w:r>
          </w:p>
          <w:p w14:paraId="4424F516" w14:textId="77777777"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При этом из Законопроекта не усматривается:</w:t>
            </w:r>
          </w:p>
          <w:p w14:paraId="58DB1B84" w14:textId="77777777"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 как в таком случае соотносятся режимы специальных счетов по Законопроекту и по закону № 103-ФЗ; </w:t>
            </w:r>
          </w:p>
          <w:p w14:paraId="68BB7E94" w14:textId="77777777" w:rsidR="00CF59A5" w:rsidRPr="006F41A6" w:rsidRDefault="00CF59A5" w:rsidP="003326A0">
            <w:pPr>
              <w:ind w:firstLine="709"/>
              <w:jc w:val="both"/>
              <w:rPr>
                <w:rFonts w:ascii="Times New Roman" w:hAnsi="Times New Roman" w:cs="Times New Roman"/>
                <w:sz w:val="24"/>
                <w:szCs w:val="24"/>
              </w:rPr>
            </w:pPr>
            <w:r w:rsidRPr="006F41A6">
              <w:rPr>
                <w:rFonts w:ascii="Times New Roman" w:hAnsi="Times New Roman" w:cs="Times New Roman"/>
                <w:sz w:val="24"/>
                <w:szCs w:val="24"/>
              </w:rPr>
              <w:t>- каков порядок привлечения Регулируемой организацией платежных агентов в целях соблюдения требований к спец. счету, устанавливаемых Законопроектом.</w:t>
            </w:r>
          </w:p>
          <w:p w14:paraId="7BF3D59E" w14:textId="77777777" w:rsidR="00CF59A5" w:rsidRPr="006F41A6" w:rsidRDefault="00CF59A5" w:rsidP="003326A0">
            <w:pPr>
              <w:ind w:firstLine="709"/>
              <w:jc w:val="both"/>
              <w:rPr>
                <w:rFonts w:ascii="Times New Roman" w:hAnsi="Times New Roman" w:cs="Times New Roman"/>
                <w:sz w:val="24"/>
                <w:szCs w:val="24"/>
              </w:rPr>
            </w:pPr>
          </w:p>
          <w:p w14:paraId="54571724" w14:textId="5DB804C6" w:rsidR="00CF59A5" w:rsidRPr="006F41A6" w:rsidRDefault="00017F7A" w:rsidP="00851415">
            <w:pPr>
              <w:jc w:val="both"/>
              <w:rPr>
                <w:rFonts w:ascii="Times New Roman" w:hAnsi="Times New Roman" w:cs="Times New Roman"/>
                <w:i/>
                <w:sz w:val="24"/>
                <w:szCs w:val="24"/>
              </w:rPr>
            </w:pPr>
            <w:r>
              <w:rPr>
                <w:rFonts w:ascii="Times New Roman" w:hAnsi="Times New Roman" w:cs="Times New Roman"/>
                <w:i/>
                <w:sz w:val="24"/>
                <w:szCs w:val="24"/>
              </w:rPr>
              <w:t>11</w:t>
            </w:r>
            <w:r w:rsidR="00CF59A5" w:rsidRPr="006F41A6">
              <w:rPr>
                <w:rFonts w:ascii="Times New Roman" w:hAnsi="Times New Roman" w:cs="Times New Roman"/>
                <w:i/>
                <w:sz w:val="24"/>
                <w:szCs w:val="24"/>
              </w:rPr>
              <w:t>. Законопроект противоречит положениям законодательства о ценообразовании в сфере электроэнергетики.</w:t>
            </w:r>
          </w:p>
          <w:p w14:paraId="2C1FACF3" w14:textId="77777777" w:rsidR="00CF59A5" w:rsidRPr="006F41A6" w:rsidRDefault="00CF59A5" w:rsidP="00006E98">
            <w:pPr>
              <w:ind w:firstLine="709"/>
              <w:jc w:val="both"/>
              <w:rPr>
                <w:rFonts w:ascii="Times New Roman" w:hAnsi="Times New Roman" w:cs="Times New Roman"/>
                <w:sz w:val="24"/>
                <w:szCs w:val="24"/>
              </w:rPr>
            </w:pPr>
            <w:r w:rsidRPr="006F41A6">
              <w:rPr>
                <w:rFonts w:ascii="Times New Roman" w:hAnsi="Times New Roman" w:cs="Times New Roman"/>
                <w:sz w:val="24"/>
                <w:szCs w:val="24"/>
              </w:rPr>
              <w:t>Согласно проектируемому п. 1 ст. 29.6 ФЗ «Об электроэнергетике» денежные средства, полученные в ходе осуществления регулируемого вида деятельности, могут расходоваться в объемах, не превышающих расходы, учтенные при установлении регулируемой цены (тарифа), а распоряжение прибылью осуществляется исключительно на основании решения уполномоченного органа.</w:t>
            </w:r>
          </w:p>
          <w:p w14:paraId="563ABD31" w14:textId="77777777" w:rsidR="00CF59A5" w:rsidRPr="006F41A6" w:rsidRDefault="00CF59A5" w:rsidP="00006E98">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Указанные положения Законопроекта противоречат законодательству о ценообразовании в сфере электроэнергетики, предусматривающему установление сбытовой надбавки ГП с применением метода сравнения аналогов. </w:t>
            </w:r>
            <w:proofErr w:type="gramStart"/>
            <w:r w:rsidRPr="006F41A6">
              <w:rPr>
                <w:rFonts w:ascii="Times New Roman" w:hAnsi="Times New Roman" w:cs="Times New Roman"/>
                <w:sz w:val="24"/>
                <w:szCs w:val="24"/>
              </w:rPr>
              <w:t>Согласно постановлению Правительства РФ от 29.12.2011 № 1178 «О ценообразовании в области регулируемых цен (тарифов) в электроэнергетике» допускается превышение расходов над установленными в сбытовой надбавке, в частности за счет роста недополученных доходов, ростом расходов в связи с изменением правового статуса организации, списания сомнительных долгов и т.д.</w:t>
            </w:r>
            <w:proofErr w:type="gramEnd"/>
          </w:p>
          <w:p w14:paraId="2678F59E" w14:textId="77777777" w:rsidR="00CF59A5" w:rsidRPr="006F41A6" w:rsidRDefault="00CF59A5" w:rsidP="00006E98">
            <w:pPr>
              <w:ind w:firstLine="709"/>
              <w:jc w:val="both"/>
              <w:rPr>
                <w:rFonts w:ascii="Times New Roman" w:hAnsi="Times New Roman" w:cs="Times New Roman"/>
                <w:sz w:val="24"/>
                <w:szCs w:val="24"/>
              </w:rPr>
            </w:pPr>
            <w:r w:rsidRPr="006F41A6">
              <w:rPr>
                <w:rFonts w:ascii="Times New Roman" w:hAnsi="Times New Roman" w:cs="Times New Roman"/>
                <w:sz w:val="24"/>
                <w:szCs w:val="24"/>
              </w:rPr>
              <w:t>Кроме того, расчетную прибыль ГП могут направлять на улучшение качества обслуживания в целях увеличения эталонной сбытовой надбавки, выплату дивидендов, оснащение потребителей автоматизированными информационно-измерительными  системами учета электрической энергии и т.д., а предпринимательская прибыль может быть использована ГП в любых целях по своему усмотрению.</w:t>
            </w:r>
          </w:p>
          <w:p w14:paraId="097368B2" w14:textId="77777777" w:rsidR="00CF59A5" w:rsidRPr="006F41A6" w:rsidRDefault="00CF59A5" w:rsidP="00851415">
            <w:pPr>
              <w:jc w:val="both"/>
              <w:rPr>
                <w:rFonts w:ascii="Times New Roman" w:hAnsi="Times New Roman" w:cs="Times New Roman"/>
                <w:b/>
                <w:sz w:val="24"/>
                <w:szCs w:val="24"/>
              </w:rPr>
            </w:pPr>
          </w:p>
          <w:p w14:paraId="2B843448" w14:textId="0563B977" w:rsidR="00CF59A5" w:rsidRPr="006F41A6" w:rsidRDefault="00017F7A" w:rsidP="00851415">
            <w:pPr>
              <w:jc w:val="both"/>
              <w:rPr>
                <w:rFonts w:ascii="Times New Roman" w:hAnsi="Times New Roman" w:cs="Times New Roman"/>
                <w:i/>
                <w:sz w:val="24"/>
                <w:szCs w:val="24"/>
              </w:rPr>
            </w:pPr>
            <w:r>
              <w:rPr>
                <w:rFonts w:ascii="Times New Roman" w:hAnsi="Times New Roman" w:cs="Times New Roman"/>
                <w:i/>
                <w:sz w:val="24"/>
                <w:szCs w:val="24"/>
              </w:rPr>
              <w:t>12</w:t>
            </w:r>
            <w:r w:rsidR="00CF59A5" w:rsidRPr="006F41A6">
              <w:rPr>
                <w:rFonts w:ascii="Times New Roman" w:hAnsi="Times New Roman" w:cs="Times New Roman"/>
                <w:i/>
                <w:sz w:val="24"/>
                <w:szCs w:val="24"/>
              </w:rPr>
              <w:t>. Законопроект не предусматривает источники компенсации расходов, возникающих при применении механизма спец. счетов.</w:t>
            </w:r>
          </w:p>
          <w:p w14:paraId="09D669CE" w14:textId="77777777" w:rsidR="00CF59A5" w:rsidRPr="006F41A6" w:rsidRDefault="00CF59A5" w:rsidP="00006E98">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В частности, не ясен механизм компенсации дополнительных расходов, возникающих в связи </w:t>
            </w:r>
            <w:proofErr w:type="gramStart"/>
            <w:r w:rsidRPr="006F41A6">
              <w:rPr>
                <w:rFonts w:ascii="Times New Roman" w:hAnsi="Times New Roman" w:cs="Times New Roman"/>
                <w:sz w:val="24"/>
                <w:szCs w:val="24"/>
              </w:rPr>
              <w:t>с</w:t>
            </w:r>
            <w:proofErr w:type="gramEnd"/>
            <w:r w:rsidRPr="006F41A6">
              <w:rPr>
                <w:rFonts w:ascii="Times New Roman" w:hAnsi="Times New Roman" w:cs="Times New Roman"/>
                <w:sz w:val="24"/>
                <w:szCs w:val="24"/>
              </w:rPr>
              <w:t>:</w:t>
            </w:r>
          </w:p>
          <w:p w14:paraId="01A5A76E" w14:textId="77777777" w:rsidR="00CF59A5" w:rsidRPr="006F41A6" w:rsidRDefault="00CF59A5" w:rsidP="00006E98">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  необходимостью предоставления Регулируемой организацией расширенного перечня документов, подтверждающих основания для списания денежных средств со </w:t>
            </w:r>
            <w:proofErr w:type="spellStart"/>
            <w:r w:rsidRPr="006F41A6">
              <w:rPr>
                <w:rFonts w:ascii="Times New Roman" w:hAnsi="Times New Roman" w:cs="Times New Roman"/>
                <w:sz w:val="24"/>
                <w:szCs w:val="24"/>
              </w:rPr>
              <w:t>спец</w:t>
            </w:r>
            <w:proofErr w:type="gramStart"/>
            <w:r w:rsidRPr="006F41A6">
              <w:rPr>
                <w:rFonts w:ascii="Times New Roman" w:hAnsi="Times New Roman" w:cs="Times New Roman"/>
                <w:sz w:val="24"/>
                <w:szCs w:val="24"/>
              </w:rPr>
              <w:t>.с</w:t>
            </w:r>
            <w:proofErr w:type="gramEnd"/>
            <w:r w:rsidRPr="006F41A6">
              <w:rPr>
                <w:rFonts w:ascii="Times New Roman" w:hAnsi="Times New Roman" w:cs="Times New Roman"/>
                <w:sz w:val="24"/>
                <w:szCs w:val="24"/>
              </w:rPr>
              <w:t>чета</w:t>
            </w:r>
            <w:proofErr w:type="spellEnd"/>
            <w:r w:rsidRPr="006F41A6">
              <w:rPr>
                <w:rFonts w:ascii="Times New Roman" w:hAnsi="Times New Roman" w:cs="Times New Roman"/>
                <w:sz w:val="24"/>
                <w:szCs w:val="24"/>
              </w:rPr>
              <w:t xml:space="preserve">, </w:t>
            </w:r>
          </w:p>
          <w:p w14:paraId="4B14E527" w14:textId="77777777" w:rsidR="00CF59A5" w:rsidRPr="006F41A6" w:rsidRDefault="00CF59A5" w:rsidP="00006E98">
            <w:pPr>
              <w:ind w:firstLine="709"/>
              <w:jc w:val="both"/>
              <w:rPr>
                <w:rFonts w:ascii="Times New Roman" w:hAnsi="Times New Roman" w:cs="Times New Roman"/>
                <w:sz w:val="24"/>
                <w:szCs w:val="24"/>
              </w:rPr>
            </w:pPr>
            <w:r w:rsidRPr="006F41A6">
              <w:rPr>
                <w:rFonts w:ascii="Times New Roman" w:hAnsi="Times New Roman" w:cs="Times New Roman"/>
                <w:sz w:val="24"/>
                <w:szCs w:val="24"/>
              </w:rPr>
              <w:t>- необходимостью использования более дорогих финансовых инструментов для обеспечения непрерывности бизнеса (привлечение срочных кредитов против внутригрупповых источников финансирования и лимита овердрафта);</w:t>
            </w:r>
          </w:p>
          <w:p w14:paraId="7BA7D9DD" w14:textId="77777777" w:rsidR="00CF59A5" w:rsidRPr="006F41A6" w:rsidRDefault="00CF59A5" w:rsidP="00006E98">
            <w:pPr>
              <w:ind w:firstLine="709"/>
              <w:jc w:val="both"/>
              <w:rPr>
                <w:rFonts w:ascii="Times New Roman" w:hAnsi="Times New Roman" w:cs="Times New Roman"/>
                <w:sz w:val="24"/>
                <w:szCs w:val="24"/>
              </w:rPr>
            </w:pPr>
            <w:r w:rsidRPr="006F41A6">
              <w:rPr>
                <w:rFonts w:ascii="Times New Roman" w:hAnsi="Times New Roman" w:cs="Times New Roman"/>
                <w:sz w:val="24"/>
                <w:szCs w:val="24"/>
              </w:rPr>
              <w:t>- необходимостью исполнения Казначейством дополнительной функции по проверке оснований для проведения операций по счету.</w:t>
            </w:r>
          </w:p>
          <w:p w14:paraId="715DF0A3" w14:textId="77777777" w:rsidR="00CF59A5" w:rsidRPr="006F41A6" w:rsidRDefault="00CF59A5" w:rsidP="00851415">
            <w:pPr>
              <w:jc w:val="both"/>
              <w:rPr>
                <w:rFonts w:ascii="Times New Roman" w:hAnsi="Times New Roman" w:cs="Times New Roman"/>
                <w:sz w:val="24"/>
                <w:szCs w:val="24"/>
              </w:rPr>
            </w:pPr>
          </w:p>
          <w:p w14:paraId="3BE59912" w14:textId="609E0B6C" w:rsidR="00CF59A5" w:rsidRPr="006F41A6" w:rsidRDefault="00CF59A5" w:rsidP="00851415">
            <w:pPr>
              <w:jc w:val="both"/>
              <w:rPr>
                <w:rFonts w:ascii="Times New Roman" w:hAnsi="Times New Roman" w:cs="Times New Roman"/>
                <w:i/>
                <w:sz w:val="24"/>
                <w:szCs w:val="24"/>
              </w:rPr>
            </w:pPr>
            <w:r w:rsidRPr="006F41A6">
              <w:rPr>
                <w:rFonts w:ascii="Times New Roman" w:hAnsi="Times New Roman" w:cs="Times New Roman"/>
                <w:i/>
                <w:sz w:val="24"/>
                <w:szCs w:val="24"/>
              </w:rPr>
              <w:t>1</w:t>
            </w:r>
            <w:r w:rsidR="00017F7A">
              <w:rPr>
                <w:rFonts w:ascii="Times New Roman" w:hAnsi="Times New Roman" w:cs="Times New Roman"/>
                <w:i/>
                <w:sz w:val="24"/>
                <w:szCs w:val="24"/>
              </w:rPr>
              <w:t>3</w:t>
            </w:r>
            <w:r w:rsidRPr="006F41A6">
              <w:rPr>
                <w:rFonts w:ascii="Times New Roman" w:hAnsi="Times New Roman" w:cs="Times New Roman"/>
                <w:i/>
                <w:sz w:val="24"/>
                <w:szCs w:val="24"/>
              </w:rPr>
              <w:t xml:space="preserve">. Противоречие положений Законопроекта нормам процессуального законодательства РФ. </w:t>
            </w:r>
          </w:p>
          <w:p w14:paraId="722E2B1E" w14:textId="77777777" w:rsidR="00CF59A5" w:rsidRPr="006F41A6" w:rsidRDefault="00CF59A5" w:rsidP="00C83693">
            <w:pPr>
              <w:ind w:firstLine="709"/>
              <w:jc w:val="both"/>
              <w:rPr>
                <w:rFonts w:ascii="Times New Roman" w:hAnsi="Times New Roman" w:cs="Times New Roman"/>
                <w:sz w:val="24"/>
                <w:szCs w:val="24"/>
              </w:rPr>
            </w:pPr>
            <w:r w:rsidRPr="006F41A6">
              <w:rPr>
                <w:rFonts w:ascii="Times New Roman" w:hAnsi="Times New Roman" w:cs="Times New Roman"/>
                <w:sz w:val="24"/>
                <w:szCs w:val="24"/>
              </w:rPr>
              <w:lastRenderedPageBreak/>
              <w:t>Согласно Законопроекту (например, проектируемая ст.</w:t>
            </w:r>
            <w:r w:rsidRPr="006F41A6" w:rsidDel="004A0702">
              <w:rPr>
                <w:rFonts w:ascii="Times New Roman" w:hAnsi="Times New Roman" w:cs="Times New Roman"/>
                <w:sz w:val="24"/>
                <w:szCs w:val="24"/>
              </w:rPr>
              <w:t xml:space="preserve"> </w:t>
            </w:r>
            <w:r w:rsidRPr="006F41A6">
              <w:rPr>
                <w:rFonts w:ascii="Times New Roman" w:hAnsi="Times New Roman" w:cs="Times New Roman"/>
                <w:sz w:val="24"/>
                <w:szCs w:val="24"/>
              </w:rPr>
              <w:t>29</w:t>
            </w:r>
            <w:r w:rsidRPr="006F41A6">
              <w:rPr>
                <w:rFonts w:ascii="Times New Roman" w:hAnsi="Times New Roman" w:cs="Times New Roman"/>
                <w:sz w:val="24"/>
                <w:szCs w:val="24"/>
                <w:vertAlign w:val="superscript"/>
              </w:rPr>
              <w:t xml:space="preserve">6 </w:t>
            </w:r>
            <w:r w:rsidRPr="006F41A6">
              <w:rPr>
                <w:rFonts w:ascii="Times New Roman" w:hAnsi="Times New Roman" w:cs="Times New Roman"/>
                <w:sz w:val="24"/>
                <w:szCs w:val="24"/>
              </w:rPr>
              <w:t xml:space="preserve"> ФЗ «Об электроэнергетике») если единовременное взыскание денежных средств, обособленных на спец. счете, приведет к невозможности обеспечения текущей деятельности Регулируемой организации, такой организации в обязательном порядке предоставляется рассрочка исполнения судебного акта.</w:t>
            </w:r>
          </w:p>
          <w:p w14:paraId="70390718" w14:textId="77777777" w:rsidR="00CF59A5" w:rsidRPr="006F41A6" w:rsidRDefault="00CF59A5" w:rsidP="00C83693">
            <w:pPr>
              <w:ind w:firstLine="709"/>
              <w:jc w:val="both"/>
              <w:rPr>
                <w:rFonts w:ascii="Times New Roman" w:hAnsi="Times New Roman" w:cs="Times New Roman"/>
                <w:bCs/>
                <w:sz w:val="24"/>
                <w:szCs w:val="24"/>
              </w:rPr>
            </w:pPr>
            <w:r w:rsidRPr="006F41A6">
              <w:rPr>
                <w:rFonts w:ascii="Times New Roman" w:hAnsi="Times New Roman" w:cs="Times New Roman"/>
                <w:sz w:val="24"/>
                <w:szCs w:val="24"/>
              </w:rPr>
              <w:t xml:space="preserve">Однако порядок предоставления </w:t>
            </w:r>
            <w:r w:rsidRPr="006F41A6">
              <w:rPr>
                <w:rFonts w:ascii="Times New Roman" w:hAnsi="Times New Roman" w:cs="Times New Roman"/>
                <w:bCs/>
                <w:sz w:val="24"/>
                <w:szCs w:val="24"/>
              </w:rPr>
              <w:t xml:space="preserve">отсрочки или рассрочки исполнения решения суда предусмотрен процессуальным законодательством (ст. 203 Гражданского процессуального кодекса РФ, ст. 324 Арбитражного процессуального РФ) и является правом, а не обязанностью суда. </w:t>
            </w:r>
          </w:p>
          <w:p w14:paraId="56D224D2" w14:textId="77777777" w:rsidR="00CF59A5" w:rsidRPr="006F41A6" w:rsidRDefault="00CF59A5" w:rsidP="00851415">
            <w:pPr>
              <w:jc w:val="both"/>
              <w:rPr>
                <w:rFonts w:ascii="Times New Roman" w:hAnsi="Times New Roman" w:cs="Times New Roman"/>
                <w:bCs/>
                <w:sz w:val="24"/>
                <w:szCs w:val="24"/>
              </w:rPr>
            </w:pPr>
          </w:p>
          <w:p w14:paraId="56DB64EE" w14:textId="6E729945" w:rsidR="00CF59A5" w:rsidRPr="006F41A6" w:rsidRDefault="00017F7A" w:rsidP="00851415">
            <w:pPr>
              <w:jc w:val="both"/>
              <w:rPr>
                <w:rFonts w:ascii="Times New Roman" w:hAnsi="Times New Roman" w:cs="Times New Roman"/>
                <w:bCs/>
                <w:i/>
                <w:sz w:val="24"/>
                <w:szCs w:val="24"/>
              </w:rPr>
            </w:pPr>
            <w:r>
              <w:rPr>
                <w:rFonts w:ascii="Times New Roman" w:hAnsi="Times New Roman" w:cs="Times New Roman"/>
                <w:bCs/>
                <w:i/>
                <w:sz w:val="24"/>
                <w:szCs w:val="24"/>
              </w:rPr>
              <w:t>14</w:t>
            </w:r>
            <w:r w:rsidR="00CF59A5" w:rsidRPr="006F41A6">
              <w:rPr>
                <w:rFonts w:ascii="Times New Roman" w:hAnsi="Times New Roman" w:cs="Times New Roman"/>
                <w:bCs/>
                <w:i/>
                <w:sz w:val="24"/>
                <w:szCs w:val="24"/>
              </w:rPr>
              <w:t>. Законопроект противоречит нормам Гражданского кодекса РФ о привлечении к гражданской ответственности.</w:t>
            </w:r>
          </w:p>
          <w:p w14:paraId="39BBD3BB" w14:textId="77777777" w:rsidR="00CF59A5" w:rsidRPr="006F41A6" w:rsidRDefault="00CF59A5" w:rsidP="00C83693">
            <w:pPr>
              <w:ind w:firstLine="709"/>
              <w:jc w:val="both"/>
              <w:rPr>
                <w:rFonts w:ascii="Times New Roman" w:hAnsi="Times New Roman" w:cs="Times New Roman"/>
                <w:bCs/>
                <w:sz w:val="24"/>
                <w:szCs w:val="24"/>
              </w:rPr>
            </w:pPr>
            <w:r w:rsidRPr="006F41A6">
              <w:rPr>
                <w:rFonts w:ascii="Times New Roman" w:hAnsi="Times New Roman" w:cs="Times New Roman"/>
                <w:bCs/>
                <w:sz w:val="24"/>
                <w:szCs w:val="24"/>
              </w:rPr>
              <w:t xml:space="preserve">Согласно Законопроекту Регулируемые организации не несут гражданско-правовую ответственность за несвоевременное исполнение обязательств перед своими контрагентами, если оно вызвано приостановлением расчетов по </w:t>
            </w:r>
            <w:proofErr w:type="spellStart"/>
            <w:r w:rsidRPr="006F41A6">
              <w:rPr>
                <w:rFonts w:ascii="Times New Roman" w:hAnsi="Times New Roman" w:cs="Times New Roman"/>
                <w:bCs/>
                <w:sz w:val="24"/>
                <w:szCs w:val="24"/>
              </w:rPr>
              <w:t>спец</w:t>
            </w:r>
            <w:proofErr w:type="gramStart"/>
            <w:r w:rsidRPr="006F41A6">
              <w:rPr>
                <w:rFonts w:ascii="Times New Roman" w:hAnsi="Times New Roman" w:cs="Times New Roman"/>
                <w:bCs/>
                <w:sz w:val="24"/>
                <w:szCs w:val="24"/>
              </w:rPr>
              <w:t>.с</w:t>
            </w:r>
            <w:proofErr w:type="gramEnd"/>
            <w:r w:rsidRPr="006F41A6">
              <w:rPr>
                <w:rFonts w:ascii="Times New Roman" w:hAnsi="Times New Roman" w:cs="Times New Roman"/>
                <w:bCs/>
                <w:sz w:val="24"/>
                <w:szCs w:val="24"/>
              </w:rPr>
              <w:t>чету</w:t>
            </w:r>
            <w:proofErr w:type="spellEnd"/>
            <w:r w:rsidRPr="006F41A6">
              <w:rPr>
                <w:rFonts w:ascii="Times New Roman" w:hAnsi="Times New Roman" w:cs="Times New Roman"/>
                <w:bCs/>
                <w:sz w:val="24"/>
                <w:szCs w:val="24"/>
              </w:rPr>
              <w:t>.</w:t>
            </w:r>
          </w:p>
          <w:p w14:paraId="75B67B88" w14:textId="2E90F0E3" w:rsidR="00CF59A5" w:rsidRDefault="00CF59A5" w:rsidP="00C83693">
            <w:pPr>
              <w:ind w:firstLine="709"/>
              <w:jc w:val="both"/>
              <w:rPr>
                <w:rFonts w:ascii="Times New Roman" w:hAnsi="Times New Roman" w:cs="Times New Roman"/>
                <w:bCs/>
                <w:sz w:val="24"/>
                <w:szCs w:val="24"/>
              </w:rPr>
            </w:pPr>
            <w:r w:rsidRPr="006F41A6">
              <w:rPr>
                <w:rFonts w:ascii="Times New Roman" w:hAnsi="Times New Roman" w:cs="Times New Roman"/>
                <w:bCs/>
                <w:sz w:val="24"/>
                <w:szCs w:val="24"/>
              </w:rPr>
              <w:t>Указанное положение противоречит Гражданскому кодексу, согласно которому сторона, нарушившая свои обязательства по договору, обязана возместить причиненные убытки и уплатить неустойку.</w:t>
            </w:r>
          </w:p>
          <w:p w14:paraId="0975F43C" w14:textId="1B6C0D88" w:rsidR="00E169A8" w:rsidRPr="006F41A6" w:rsidRDefault="00E169A8" w:rsidP="00C83693">
            <w:pPr>
              <w:ind w:firstLine="709"/>
              <w:jc w:val="both"/>
              <w:rPr>
                <w:rFonts w:ascii="Times New Roman" w:hAnsi="Times New Roman" w:cs="Times New Roman"/>
                <w:bCs/>
                <w:sz w:val="24"/>
                <w:szCs w:val="24"/>
              </w:rPr>
            </w:pPr>
            <w:r w:rsidRPr="00FD0CBD">
              <w:rPr>
                <w:rFonts w:ascii="Times New Roman" w:hAnsi="Times New Roman" w:cs="Times New Roman"/>
                <w:bCs/>
                <w:sz w:val="24"/>
                <w:szCs w:val="24"/>
              </w:rPr>
              <w:t>Также, наделение ФАС России и Минэкономразвития России полномочиями устанавливать требования к документам-основаниям для перечисления средств со специального счета не только представляют собой ограничение свободы осуществления экономической деятельности, но и нарушают принцип свободы договора (статья 421 Гражданского кодекса Российской Федерации).</w:t>
            </w:r>
          </w:p>
          <w:p w14:paraId="74ADFEFF" w14:textId="77777777" w:rsidR="00CF59A5" w:rsidRPr="006F41A6" w:rsidRDefault="00CF59A5" w:rsidP="00851415">
            <w:pPr>
              <w:jc w:val="both"/>
              <w:rPr>
                <w:rFonts w:ascii="Times New Roman" w:hAnsi="Times New Roman" w:cs="Times New Roman"/>
                <w:b/>
                <w:sz w:val="24"/>
                <w:szCs w:val="24"/>
              </w:rPr>
            </w:pPr>
          </w:p>
          <w:p w14:paraId="521C80BC" w14:textId="3310B313" w:rsidR="00CF59A5" w:rsidRPr="006F41A6" w:rsidRDefault="00017F7A" w:rsidP="00851415">
            <w:pPr>
              <w:jc w:val="both"/>
              <w:rPr>
                <w:rFonts w:ascii="Times New Roman" w:hAnsi="Times New Roman" w:cs="Times New Roman"/>
                <w:i/>
                <w:sz w:val="24"/>
                <w:szCs w:val="24"/>
              </w:rPr>
            </w:pPr>
            <w:r>
              <w:rPr>
                <w:rFonts w:ascii="Times New Roman" w:hAnsi="Times New Roman" w:cs="Times New Roman"/>
                <w:i/>
                <w:sz w:val="24"/>
                <w:szCs w:val="24"/>
              </w:rPr>
              <w:t>15</w:t>
            </w:r>
            <w:r w:rsidR="00CF59A5" w:rsidRPr="006F41A6">
              <w:rPr>
                <w:rFonts w:ascii="Times New Roman" w:hAnsi="Times New Roman" w:cs="Times New Roman"/>
                <w:i/>
                <w:sz w:val="24"/>
                <w:szCs w:val="24"/>
              </w:rPr>
              <w:t>. Законопроект необоснованно ограничивает права субъектов предпринимательской деятельности, что противоречит принципам действующего на территории РФ гражданского законодательства.</w:t>
            </w:r>
          </w:p>
          <w:p w14:paraId="2A838F21" w14:textId="77777777" w:rsidR="00CF59A5" w:rsidRPr="006F41A6" w:rsidRDefault="00CF59A5" w:rsidP="00C83693">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Законопроект наделяет Казначейство обязанностью по </w:t>
            </w:r>
            <w:proofErr w:type="gramStart"/>
            <w:r w:rsidRPr="006F41A6">
              <w:rPr>
                <w:rFonts w:ascii="Times New Roman" w:hAnsi="Times New Roman" w:cs="Times New Roman"/>
                <w:sz w:val="24"/>
                <w:szCs w:val="24"/>
              </w:rPr>
              <w:t>контролю за</w:t>
            </w:r>
            <w:proofErr w:type="gramEnd"/>
            <w:r w:rsidRPr="006F41A6">
              <w:rPr>
                <w:rFonts w:ascii="Times New Roman" w:hAnsi="Times New Roman" w:cs="Times New Roman"/>
                <w:sz w:val="24"/>
                <w:szCs w:val="24"/>
              </w:rPr>
              <w:t xml:space="preserve"> недопущением нецелевого использования средств со специальных счетов.</w:t>
            </w:r>
          </w:p>
          <w:p w14:paraId="1416AEDF" w14:textId="77777777" w:rsidR="00CF59A5" w:rsidRPr="006F41A6" w:rsidRDefault="00CF59A5" w:rsidP="00C83693">
            <w:pPr>
              <w:ind w:firstLine="709"/>
              <w:jc w:val="both"/>
              <w:rPr>
                <w:rFonts w:ascii="Times New Roman" w:hAnsi="Times New Roman" w:cs="Times New Roman"/>
                <w:sz w:val="24"/>
                <w:szCs w:val="24"/>
              </w:rPr>
            </w:pPr>
            <w:r w:rsidRPr="006F41A6">
              <w:rPr>
                <w:rFonts w:ascii="Times New Roman" w:hAnsi="Times New Roman" w:cs="Times New Roman"/>
                <w:sz w:val="24"/>
                <w:szCs w:val="24"/>
              </w:rPr>
              <w:t>В соответствии с ч. 2 ст. 8 Конституции РФ в Российской Федерации признаются и защищаются равным образом частная, государственная, муниципальная и иные формы собственности. Положениями ч.3 ст. 35 Конституции РФ установлен запрет на лишение имущества иначе как по решению суда.</w:t>
            </w:r>
          </w:p>
          <w:p w14:paraId="453F583C" w14:textId="77777777" w:rsidR="00CF59A5" w:rsidRPr="006F41A6" w:rsidRDefault="00CF59A5" w:rsidP="00C83693">
            <w:pPr>
              <w:ind w:firstLine="709"/>
              <w:jc w:val="both"/>
              <w:rPr>
                <w:rFonts w:ascii="Times New Roman" w:hAnsi="Times New Roman" w:cs="Times New Roman"/>
                <w:sz w:val="24"/>
                <w:szCs w:val="24"/>
              </w:rPr>
            </w:pPr>
            <w:r w:rsidRPr="006F41A6">
              <w:rPr>
                <w:rFonts w:ascii="Times New Roman" w:hAnsi="Times New Roman" w:cs="Times New Roman"/>
                <w:sz w:val="24"/>
                <w:szCs w:val="24"/>
              </w:rPr>
              <w:t>Согласно ст. 1 Гражданского кодекса РФ гражданское законодательство основывается на признании равенства участников регулируемых им отношений, неприкосновенности собственности, недопустимости произвольного вмешательства кого-либо в частные дела, необходимости беспрепятственного осуществления гражданских прав. Ограничение гражданских прав допускается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A28CA9E" w14:textId="77777777" w:rsidR="00CF59A5" w:rsidRPr="006F41A6" w:rsidRDefault="00CF59A5" w:rsidP="00C83693">
            <w:pPr>
              <w:ind w:firstLine="709"/>
              <w:jc w:val="both"/>
              <w:rPr>
                <w:rFonts w:ascii="Times New Roman" w:hAnsi="Times New Roman" w:cs="Times New Roman"/>
                <w:sz w:val="24"/>
                <w:szCs w:val="24"/>
              </w:rPr>
            </w:pPr>
            <w:r w:rsidRPr="006F41A6">
              <w:rPr>
                <w:rFonts w:ascii="Times New Roman" w:hAnsi="Times New Roman" w:cs="Times New Roman"/>
                <w:sz w:val="24"/>
                <w:szCs w:val="24"/>
              </w:rPr>
              <w:t>Фактически положения Законопроекта могут привести к национализации имущества собственников без соответствующего возмещения его стоимости. В то же время, согласно ст. 306 Гражданского кодекса в случае принятия РФ закона, прекращающего право собственности, убытки, причиненные собственнику в результате принятия этого акта, в том числе стоимость имущества, должны возмещаться государством.</w:t>
            </w:r>
          </w:p>
          <w:p w14:paraId="79F1DA8C" w14:textId="77777777" w:rsidR="00CF59A5" w:rsidRPr="006F41A6" w:rsidRDefault="00CF59A5" w:rsidP="00C83693">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Законопроектом предусмотрены избыточные ограничения возможности реализации прав для лиц, осуществляющих предпринимательскую деятельность в сфере электроэнергетики и теплоснабжения, что противоречит основным началам гражданского законодательства в РФ, ограничивая гарантированное Конституцией РФ право частной собственности и право на свободное использование своих способностей и имущества для </w:t>
            </w:r>
            <w:r w:rsidRPr="006F41A6">
              <w:rPr>
                <w:rFonts w:ascii="Times New Roman" w:hAnsi="Times New Roman" w:cs="Times New Roman"/>
                <w:sz w:val="24"/>
                <w:szCs w:val="24"/>
              </w:rPr>
              <w:lastRenderedPageBreak/>
              <w:t>предпринимательской и иной не запрещенной законом экономической деятельности.</w:t>
            </w:r>
          </w:p>
          <w:p w14:paraId="4E5A342E" w14:textId="77777777" w:rsidR="00CF59A5" w:rsidRPr="006F41A6" w:rsidRDefault="00CF59A5" w:rsidP="00C83693">
            <w:pPr>
              <w:ind w:firstLine="709"/>
              <w:jc w:val="both"/>
              <w:rPr>
                <w:rFonts w:ascii="Times New Roman" w:hAnsi="Times New Roman" w:cs="Times New Roman"/>
                <w:sz w:val="24"/>
                <w:szCs w:val="24"/>
              </w:rPr>
            </w:pPr>
            <w:r w:rsidRPr="006F41A6">
              <w:rPr>
                <w:rFonts w:ascii="Times New Roman" w:hAnsi="Times New Roman" w:cs="Times New Roman"/>
                <w:sz w:val="24"/>
                <w:szCs w:val="24"/>
              </w:rPr>
              <w:t>Кроме того, нормы законопроекта содержат коррупциогенную составляющую, которая выражается в наделении Казначейства правом ограничивать по своему усмотрению операции по  специальным счетам, при ограниченной ответственности самого Казначейства за убытки, причиненные владельцам спец. счетов в результате таких действий.</w:t>
            </w:r>
          </w:p>
          <w:p w14:paraId="7590A458" w14:textId="77777777" w:rsidR="00CF59A5" w:rsidRPr="006F41A6" w:rsidRDefault="00CF59A5" w:rsidP="00851415">
            <w:pPr>
              <w:jc w:val="both"/>
              <w:rPr>
                <w:rFonts w:ascii="Times New Roman" w:hAnsi="Times New Roman" w:cs="Times New Roman"/>
                <w:b/>
                <w:sz w:val="24"/>
                <w:szCs w:val="24"/>
              </w:rPr>
            </w:pPr>
          </w:p>
          <w:p w14:paraId="48FDC9CA" w14:textId="77777777" w:rsidR="006C6D6A" w:rsidRPr="006F41A6" w:rsidRDefault="009E44BE" w:rsidP="009E44BE">
            <w:pPr>
              <w:jc w:val="both"/>
              <w:rPr>
                <w:rFonts w:ascii="Times New Roman" w:hAnsi="Times New Roman" w:cs="Times New Roman"/>
                <w:sz w:val="24"/>
                <w:szCs w:val="24"/>
              </w:rPr>
            </w:pPr>
            <w:r w:rsidRPr="006F41A6">
              <w:rPr>
                <w:rFonts w:ascii="Times New Roman" w:hAnsi="Times New Roman" w:cs="Times New Roman"/>
                <w:sz w:val="24"/>
                <w:szCs w:val="24"/>
              </w:rPr>
              <w:t xml:space="preserve"> </w:t>
            </w:r>
          </w:p>
        </w:tc>
      </w:tr>
      <w:tr w:rsidR="006C6D6A" w:rsidRPr="006F41A6" w14:paraId="1890C373" w14:textId="77777777" w:rsidTr="00851415">
        <w:trPr>
          <w:cantSplit/>
        </w:trPr>
        <w:tc>
          <w:tcPr>
            <w:tcW w:w="10065" w:type="dxa"/>
            <w:shd w:val="clear" w:color="auto" w:fill="F2F2F2" w:themeFill="background1" w:themeFillShade="F2"/>
            <w:tcMar>
              <w:top w:w="113" w:type="dxa"/>
              <w:bottom w:w="113" w:type="dxa"/>
            </w:tcMar>
          </w:tcPr>
          <w:p w14:paraId="0662D4F7" w14:textId="77777777" w:rsidR="006C6D6A" w:rsidRPr="006F41A6" w:rsidRDefault="005751E7" w:rsidP="00851415">
            <w:pPr>
              <w:jc w:val="both"/>
              <w:rPr>
                <w:rFonts w:ascii="Times New Roman" w:hAnsi="Times New Roman" w:cs="Times New Roman"/>
                <w:sz w:val="24"/>
                <w:szCs w:val="24"/>
              </w:rPr>
            </w:pPr>
            <w:r w:rsidRPr="006F41A6">
              <w:rPr>
                <w:rFonts w:ascii="Times New Roman" w:hAnsi="Times New Roman" w:cs="Times New Roman"/>
                <w:sz w:val="24"/>
                <w:szCs w:val="24"/>
              </w:rPr>
              <w:lastRenderedPageBreak/>
              <w:t>Существуют ли менее затратные и (или) более эффективные способы решения проблемы?</w:t>
            </w:r>
            <w:r w:rsidR="00B555F7" w:rsidRPr="006F41A6">
              <w:rPr>
                <w:rFonts w:ascii="Times New Roman" w:hAnsi="Times New Roman" w:cs="Times New Roman"/>
                <w:sz w:val="24"/>
                <w:szCs w:val="24"/>
              </w:rPr>
              <w:t xml:space="preserve"> Если да, опишите их.</w:t>
            </w:r>
          </w:p>
        </w:tc>
      </w:tr>
      <w:tr w:rsidR="0033609E" w:rsidRPr="006F41A6" w14:paraId="5FD1314B" w14:textId="77777777" w:rsidTr="00851415">
        <w:trPr>
          <w:cantSplit/>
        </w:trPr>
        <w:tc>
          <w:tcPr>
            <w:tcW w:w="10065" w:type="dxa"/>
            <w:tcMar>
              <w:top w:w="113" w:type="dxa"/>
              <w:bottom w:w="113" w:type="dxa"/>
            </w:tcMar>
          </w:tcPr>
          <w:p w14:paraId="04A6E3B4" w14:textId="64CE3665" w:rsidR="00B13BE8" w:rsidRPr="006F41A6" w:rsidRDefault="00C713C2" w:rsidP="00F32CD2">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Действующ</w:t>
            </w:r>
            <w:r w:rsidR="006B0EA0">
              <w:rPr>
                <w:rFonts w:ascii="Times New Roman" w:hAnsi="Times New Roman" w:cs="Times New Roman"/>
                <w:sz w:val="24"/>
                <w:szCs w:val="24"/>
              </w:rPr>
              <w:t>и</w:t>
            </w:r>
            <w:r>
              <w:rPr>
                <w:rFonts w:ascii="Times New Roman" w:hAnsi="Times New Roman" w:cs="Times New Roman"/>
                <w:sz w:val="24"/>
                <w:szCs w:val="24"/>
              </w:rPr>
              <w:t xml:space="preserve">м законодательством предусмотрены </w:t>
            </w:r>
            <w:r w:rsidR="006B0EA0">
              <w:rPr>
                <w:rFonts w:ascii="Times New Roman" w:hAnsi="Times New Roman" w:cs="Times New Roman"/>
                <w:sz w:val="24"/>
                <w:szCs w:val="24"/>
              </w:rPr>
              <w:t>механизмы</w:t>
            </w:r>
            <w:r w:rsidR="00B13BE8" w:rsidRPr="006F41A6">
              <w:rPr>
                <w:rFonts w:ascii="Times New Roman" w:hAnsi="Times New Roman" w:cs="Times New Roman"/>
                <w:sz w:val="24"/>
                <w:szCs w:val="24"/>
              </w:rPr>
              <w:t xml:space="preserve"> исключения из тарифной выручки средств, использованных в предыдущем периоде нецелевым образом, либо снижения тарифной выручки с учетом невыполнения целевых показателей инвестиционной программы, снижения показателей надежности и энергоэффективности (в тепле), качества (в воде) предоставляемых ресурсов. В случае</w:t>
            </w:r>
            <w:proofErr w:type="gramStart"/>
            <w:r w:rsidR="00B13BE8" w:rsidRPr="006F41A6">
              <w:rPr>
                <w:rFonts w:ascii="Times New Roman" w:hAnsi="Times New Roman" w:cs="Times New Roman"/>
                <w:sz w:val="24"/>
                <w:szCs w:val="24"/>
              </w:rPr>
              <w:t>,</w:t>
            </w:r>
            <w:proofErr w:type="gramEnd"/>
            <w:r w:rsidR="00B13BE8" w:rsidRPr="006F41A6">
              <w:rPr>
                <w:rFonts w:ascii="Times New Roman" w:hAnsi="Times New Roman" w:cs="Times New Roman"/>
                <w:sz w:val="24"/>
                <w:szCs w:val="24"/>
              </w:rPr>
              <w:t xml:space="preserve"> если нецелевое использование средств привело к нарушению надежности </w:t>
            </w:r>
            <w:proofErr w:type="spellStart"/>
            <w:r w:rsidR="00B13BE8" w:rsidRPr="006F41A6">
              <w:rPr>
                <w:rFonts w:ascii="Times New Roman" w:hAnsi="Times New Roman" w:cs="Times New Roman"/>
                <w:sz w:val="24"/>
                <w:szCs w:val="24"/>
              </w:rPr>
              <w:t>ресурсоснабжения</w:t>
            </w:r>
            <w:proofErr w:type="spellEnd"/>
            <w:r w:rsidR="00B13BE8" w:rsidRPr="006F41A6">
              <w:rPr>
                <w:rFonts w:ascii="Times New Roman" w:hAnsi="Times New Roman" w:cs="Times New Roman"/>
                <w:sz w:val="24"/>
                <w:szCs w:val="24"/>
              </w:rPr>
              <w:t xml:space="preserve"> и/или безопасности потребителей, законодательством предусмотрены меры финансовой, административной и уголовной ответственности. </w:t>
            </w:r>
          </w:p>
          <w:p w14:paraId="117A2A77" w14:textId="77777777" w:rsidR="00B13BE8" w:rsidRPr="006F41A6" w:rsidRDefault="00B13BE8" w:rsidP="00F32CD2">
            <w:pPr>
              <w:ind w:firstLine="709"/>
              <w:jc w:val="both"/>
              <w:rPr>
                <w:rFonts w:ascii="Times New Roman" w:hAnsi="Times New Roman" w:cs="Times New Roman"/>
                <w:sz w:val="24"/>
                <w:szCs w:val="24"/>
              </w:rPr>
            </w:pPr>
          </w:p>
          <w:p w14:paraId="3C0C028F" w14:textId="525E3DBC" w:rsidR="003F6F68" w:rsidRPr="006F41A6" w:rsidRDefault="003F6F68" w:rsidP="006B0EA0">
            <w:pPr>
              <w:ind w:firstLine="731"/>
              <w:jc w:val="both"/>
              <w:rPr>
                <w:rFonts w:ascii="Times New Roman" w:hAnsi="Times New Roman" w:cs="Times New Roman"/>
                <w:sz w:val="24"/>
                <w:szCs w:val="24"/>
              </w:rPr>
            </w:pPr>
            <w:r w:rsidRPr="006F41A6">
              <w:rPr>
                <w:rFonts w:ascii="Times New Roman" w:hAnsi="Times New Roman" w:cs="Times New Roman"/>
                <w:sz w:val="24"/>
                <w:szCs w:val="24"/>
              </w:rPr>
              <w:t>Считаем, что проблему</w:t>
            </w:r>
            <w:r w:rsidR="00C713C2">
              <w:rPr>
                <w:rFonts w:ascii="Times New Roman" w:hAnsi="Times New Roman" w:cs="Times New Roman"/>
                <w:sz w:val="24"/>
                <w:szCs w:val="24"/>
              </w:rPr>
              <w:t xml:space="preserve"> нецелевого использования средств </w:t>
            </w:r>
            <w:r w:rsidRPr="006F41A6">
              <w:rPr>
                <w:rFonts w:ascii="Times New Roman" w:hAnsi="Times New Roman" w:cs="Times New Roman"/>
                <w:sz w:val="24"/>
                <w:szCs w:val="24"/>
              </w:rPr>
              <w:t xml:space="preserve"> необходимо решать индивидуально</w:t>
            </w:r>
            <w:r w:rsidR="00B13BE8" w:rsidRPr="006F41A6">
              <w:rPr>
                <w:rFonts w:ascii="Times New Roman" w:hAnsi="Times New Roman" w:cs="Times New Roman"/>
                <w:sz w:val="24"/>
                <w:szCs w:val="24"/>
              </w:rPr>
              <w:t>, рассматривая весь перечень причин</w:t>
            </w:r>
            <w:r w:rsidRPr="006F41A6">
              <w:rPr>
                <w:rFonts w:ascii="Times New Roman" w:hAnsi="Times New Roman" w:cs="Times New Roman"/>
                <w:sz w:val="24"/>
                <w:szCs w:val="24"/>
              </w:rPr>
              <w:t>.</w:t>
            </w:r>
            <w:r w:rsidR="00C713C2">
              <w:rPr>
                <w:rFonts w:ascii="Times New Roman" w:hAnsi="Times New Roman" w:cs="Times New Roman"/>
                <w:sz w:val="24"/>
                <w:szCs w:val="24"/>
              </w:rPr>
              <w:t xml:space="preserve"> Так как</w:t>
            </w:r>
            <w:r w:rsidR="00A102BE">
              <w:rPr>
                <w:rFonts w:ascii="Times New Roman" w:hAnsi="Times New Roman" w:cs="Times New Roman"/>
                <w:sz w:val="24"/>
                <w:szCs w:val="24"/>
              </w:rPr>
              <w:t xml:space="preserve"> </w:t>
            </w:r>
            <w:r w:rsidR="00C713C2">
              <w:rPr>
                <w:rFonts w:ascii="Times New Roman" w:hAnsi="Times New Roman" w:cs="Times New Roman"/>
                <w:sz w:val="24"/>
                <w:szCs w:val="24"/>
              </w:rPr>
              <w:t>з</w:t>
            </w:r>
            <w:r w:rsidRPr="006F41A6">
              <w:rPr>
                <w:rFonts w:ascii="Times New Roman" w:hAnsi="Times New Roman" w:cs="Times New Roman"/>
                <w:sz w:val="24"/>
                <w:szCs w:val="24"/>
              </w:rPr>
              <w:t xml:space="preserve">ачастую неисполнение отдельных мероприятий инвестиционной программы происходит по независящим от регулируемой организации причинам, например в теплоснабжении: отказ застройщиков от заявок на подключение, перенос или включение новых мероприятий по вводу объектов капитального строительства по решению органов власти (органы местного самоуправления, органы власти субъекта РФ), нарушение сроков подрядчиками. При этом корректировка инвестиционной программы, отражающая переносы и отказ от мероприятий, по действующему порядку контроля не учитывается при корректировке необходимой валовой выручки (НВВ), т.к. оценивается исполнение по первоначально утвержденному плану. </w:t>
            </w:r>
          </w:p>
          <w:p w14:paraId="33CAF0C8" w14:textId="77777777" w:rsidR="003F6F68" w:rsidRPr="006F41A6" w:rsidRDefault="003F6F68" w:rsidP="00F32CD2">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В ситуации базовой </w:t>
            </w:r>
            <w:proofErr w:type="spellStart"/>
            <w:r w:rsidRPr="006F41A6">
              <w:rPr>
                <w:rFonts w:ascii="Times New Roman" w:hAnsi="Times New Roman" w:cs="Times New Roman"/>
                <w:sz w:val="24"/>
                <w:szCs w:val="24"/>
              </w:rPr>
              <w:t>недорегулированности</w:t>
            </w:r>
            <w:proofErr w:type="spellEnd"/>
            <w:r w:rsidRPr="006F41A6">
              <w:rPr>
                <w:rFonts w:ascii="Times New Roman" w:hAnsi="Times New Roman" w:cs="Times New Roman"/>
                <w:sz w:val="24"/>
                <w:szCs w:val="24"/>
              </w:rPr>
              <w:t xml:space="preserve"> тарифов в сфере теплоснабжения инвестиционная программа первая попадает под корректировку. </w:t>
            </w:r>
            <w:proofErr w:type="gramStart"/>
            <w:r w:rsidRPr="006F41A6">
              <w:rPr>
                <w:rFonts w:ascii="Times New Roman" w:hAnsi="Times New Roman" w:cs="Times New Roman"/>
                <w:sz w:val="24"/>
                <w:szCs w:val="24"/>
              </w:rPr>
              <w:t>Например, при недостаточности средств в тарифах на обязательные для осуществления текущей производственной деятельности расходы по статьям «ремонты», «топливо», «заработная плата», соответствующие расходы вынужденно осуществляются за счет средств, предусмотренных в тарифах на реализацию мероприятий инвестиционной программы.</w:t>
            </w:r>
            <w:proofErr w:type="gramEnd"/>
            <w:r w:rsidRPr="006F41A6">
              <w:rPr>
                <w:rFonts w:ascii="Times New Roman" w:hAnsi="Times New Roman" w:cs="Times New Roman"/>
                <w:sz w:val="24"/>
                <w:szCs w:val="24"/>
              </w:rPr>
              <w:t xml:space="preserve"> В случае изменения экономической ситуации (кризисные явления в экономике: резкий спад промышленного производства и темпов строительства, рост процентных ставок, инфляция, резкие колебания валютных курсов и т.д.) инвестиционная программа вынужденно подвергается корректировке.</w:t>
            </w:r>
          </w:p>
          <w:p w14:paraId="0B83F16A" w14:textId="77777777" w:rsidR="003F6F68" w:rsidRPr="006F41A6" w:rsidRDefault="003F6F68" w:rsidP="00F32CD2">
            <w:pPr>
              <w:ind w:firstLine="709"/>
              <w:jc w:val="both"/>
              <w:rPr>
                <w:rFonts w:ascii="Times New Roman" w:hAnsi="Times New Roman" w:cs="Times New Roman"/>
                <w:sz w:val="24"/>
                <w:szCs w:val="24"/>
              </w:rPr>
            </w:pPr>
            <w:r w:rsidRPr="006F41A6">
              <w:rPr>
                <w:rFonts w:ascii="Times New Roman" w:hAnsi="Times New Roman" w:cs="Times New Roman"/>
                <w:sz w:val="24"/>
                <w:szCs w:val="24"/>
              </w:rPr>
              <w:t xml:space="preserve">Инвестиционная программа регулируемой организации содержит, как правило, большое количество мероприятий (проектов), может меняться в течение года, содержит переходящие на другие периоды мероприятия – как следствие, корректировка сроков исполнения отдельных мероприятий инвестиционной программы – это необходимое условие эффективного расходования средств на ее реализацию. Принятие же рассматриваемого Законопроектом дополнительного государственного контроля и механизма специальных счетов приведет к нерациональному расходованию средств под заранее согласованные и включенные в инвестиционные программы мероприятия безотносительно реального статуса по ним, что приведет к неэффективному и нерациональному «освоению» инвестиций ради безусловного выполнения первоначального плана. </w:t>
            </w:r>
          </w:p>
        </w:tc>
      </w:tr>
      <w:tr w:rsidR="005751E7" w:rsidRPr="006F41A6" w14:paraId="446A11DA" w14:textId="77777777" w:rsidTr="00851415">
        <w:trPr>
          <w:cantSplit/>
        </w:trPr>
        <w:tc>
          <w:tcPr>
            <w:tcW w:w="10065" w:type="dxa"/>
            <w:shd w:val="clear" w:color="auto" w:fill="F2F2F2" w:themeFill="background1" w:themeFillShade="F2"/>
            <w:tcMar>
              <w:top w:w="113" w:type="dxa"/>
              <w:bottom w:w="113" w:type="dxa"/>
            </w:tcMar>
          </w:tcPr>
          <w:p w14:paraId="775CF684" w14:textId="77777777" w:rsidR="005751E7" w:rsidRPr="006F41A6" w:rsidRDefault="005751E7" w:rsidP="00851415">
            <w:pPr>
              <w:jc w:val="both"/>
              <w:rPr>
                <w:rFonts w:ascii="Times New Roman" w:hAnsi="Times New Roman" w:cs="Times New Roman"/>
                <w:sz w:val="24"/>
                <w:szCs w:val="24"/>
              </w:rPr>
            </w:pPr>
            <w:r w:rsidRPr="006F41A6">
              <w:rPr>
                <w:rFonts w:ascii="Times New Roman" w:hAnsi="Times New Roman" w:cs="Times New Roman"/>
                <w:sz w:val="24"/>
                <w:szCs w:val="24"/>
              </w:rPr>
              <w:t xml:space="preserve">Содержит ли проект акта нормы, противоречащие действующему законодательству? </w:t>
            </w:r>
            <w:r w:rsidR="00051FC8" w:rsidRPr="006F41A6">
              <w:rPr>
                <w:rFonts w:ascii="Times New Roman" w:hAnsi="Times New Roman" w:cs="Times New Roman"/>
                <w:sz w:val="24"/>
                <w:szCs w:val="24"/>
              </w:rPr>
              <w:br/>
            </w:r>
            <w:r w:rsidRPr="006F41A6">
              <w:rPr>
                <w:rFonts w:ascii="Times New Roman" w:hAnsi="Times New Roman" w:cs="Times New Roman"/>
                <w:sz w:val="24"/>
                <w:szCs w:val="24"/>
              </w:rPr>
              <w:t>Если да, укажите их.</w:t>
            </w:r>
          </w:p>
        </w:tc>
      </w:tr>
      <w:tr w:rsidR="005751E7" w:rsidRPr="006F41A6" w14:paraId="6EA5F1E8" w14:textId="77777777" w:rsidTr="00851415">
        <w:trPr>
          <w:cantSplit/>
        </w:trPr>
        <w:tc>
          <w:tcPr>
            <w:tcW w:w="10065" w:type="dxa"/>
            <w:tcMar>
              <w:top w:w="113" w:type="dxa"/>
              <w:bottom w:w="113" w:type="dxa"/>
            </w:tcMar>
          </w:tcPr>
          <w:p w14:paraId="5D870C37" w14:textId="77777777" w:rsidR="005751E7" w:rsidRDefault="00154523" w:rsidP="00154523">
            <w:pPr>
              <w:jc w:val="both"/>
              <w:rPr>
                <w:rFonts w:ascii="Times New Roman" w:hAnsi="Times New Roman" w:cs="Times New Roman"/>
                <w:sz w:val="24"/>
                <w:szCs w:val="24"/>
              </w:rPr>
            </w:pPr>
            <w:r>
              <w:rPr>
                <w:rFonts w:ascii="Times New Roman" w:hAnsi="Times New Roman" w:cs="Times New Roman"/>
                <w:sz w:val="24"/>
                <w:szCs w:val="24"/>
              </w:rPr>
              <w:lastRenderedPageBreak/>
              <w:t>Да. Противоречие законодательству подробно изложено в разделе о</w:t>
            </w:r>
            <w:r w:rsidRPr="00154523">
              <w:rPr>
                <w:rFonts w:ascii="Times New Roman" w:hAnsi="Times New Roman" w:cs="Times New Roman"/>
                <w:sz w:val="24"/>
                <w:szCs w:val="24"/>
              </w:rPr>
              <w:t xml:space="preserve"> </w:t>
            </w:r>
            <w:r>
              <w:rPr>
                <w:rFonts w:ascii="Times New Roman" w:hAnsi="Times New Roman" w:cs="Times New Roman"/>
                <w:sz w:val="24"/>
                <w:szCs w:val="24"/>
              </w:rPr>
              <w:t>рисках и негативных</w:t>
            </w:r>
            <w:r w:rsidRPr="00154523">
              <w:rPr>
                <w:rFonts w:ascii="Times New Roman" w:hAnsi="Times New Roman" w:cs="Times New Roman"/>
                <w:sz w:val="24"/>
                <w:szCs w:val="24"/>
              </w:rPr>
              <w:t xml:space="preserve"> последствия</w:t>
            </w:r>
            <w:r>
              <w:rPr>
                <w:rFonts w:ascii="Times New Roman" w:hAnsi="Times New Roman" w:cs="Times New Roman"/>
                <w:sz w:val="24"/>
                <w:szCs w:val="24"/>
              </w:rPr>
              <w:t>х</w:t>
            </w:r>
            <w:r w:rsidRPr="00154523">
              <w:rPr>
                <w:rFonts w:ascii="Times New Roman" w:hAnsi="Times New Roman" w:cs="Times New Roman"/>
                <w:sz w:val="24"/>
                <w:szCs w:val="24"/>
              </w:rPr>
              <w:t xml:space="preserve"> для бизнеса</w:t>
            </w:r>
            <w:r>
              <w:rPr>
                <w:rFonts w:ascii="Times New Roman" w:hAnsi="Times New Roman" w:cs="Times New Roman"/>
                <w:sz w:val="24"/>
                <w:szCs w:val="24"/>
              </w:rPr>
              <w:t>.</w:t>
            </w:r>
          </w:p>
          <w:p w14:paraId="1D0C15A2" w14:textId="768FAD53" w:rsidR="00E169A8" w:rsidRPr="00E169A8" w:rsidRDefault="00E169A8" w:rsidP="00E169A8">
            <w:pPr>
              <w:jc w:val="both"/>
              <w:rPr>
                <w:rFonts w:ascii="Times New Roman" w:hAnsi="Times New Roman" w:cs="Times New Roman"/>
                <w:sz w:val="24"/>
                <w:szCs w:val="24"/>
              </w:rPr>
            </w:pPr>
            <w:r>
              <w:rPr>
                <w:rFonts w:ascii="Times New Roman" w:hAnsi="Times New Roman" w:cs="Times New Roman"/>
                <w:sz w:val="24"/>
                <w:szCs w:val="24"/>
              </w:rPr>
              <w:t xml:space="preserve">В дополнение к </w:t>
            </w:r>
            <w:proofErr w:type="gramStart"/>
            <w:r>
              <w:rPr>
                <w:rFonts w:ascii="Times New Roman" w:hAnsi="Times New Roman" w:cs="Times New Roman"/>
                <w:sz w:val="24"/>
                <w:szCs w:val="24"/>
              </w:rPr>
              <w:t>вышеуказанном</w:t>
            </w:r>
            <w:proofErr w:type="gramEnd"/>
            <w:r>
              <w:rPr>
                <w:rFonts w:ascii="Times New Roman" w:hAnsi="Times New Roman" w:cs="Times New Roman"/>
                <w:sz w:val="24"/>
                <w:szCs w:val="24"/>
              </w:rPr>
              <w:t xml:space="preserve"> замечаниям также имеются </w:t>
            </w:r>
            <w:r w:rsidRPr="00E169A8">
              <w:rPr>
                <w:rFonts w:ascii="Times New Roman" w:hAnsi="Times New Roman" w:cs="Times New Roman"/>
                <w:sz w:val="28"/>
                <w:szCs w:val="28"/>
              </w:rPr>
              <w:t xml:space="preserve"> </w:t>
            </w:r>
            <w:r w:rsidR="00125CCF">
              <w:rPr>
                <w:rFonts w:ascii="Times New Roman" w:hAnsi="Times New Roman" w:cs="Times New Roman"/>
                <w:sz w:val="28"/>
                <w:szCs w:val="28"/>
              </w:rPr>
              <w:t xml:space="preserve"> </w:t>
            </w:r>
            <w:r w:rsidR="00125CCF" w:rsidRPr="00125CCF">
              <w:rPr>
                <w:rFonts w:ascii="Times New Roman" w:hAnsi="Times New Roman" w:cs="Times New Roman"/>
                <w:sz w:val="24"/>
                <w:szCs w:val="24"/>
              </w:rPr>
              <w:t xml:space="preserve">следующие </w:t>
            </w:r>
            <w:r w:rsidR="00125CCF">
              <w:rPr>
                <w:rFonts w:ascii="Times New Roman" w:hAnsi="Times New Roman" w:cs="Times New Roman"/>
                <w:sz w:val="24"/>
                <w:szCs w:val="24"/>
              </w:rPr>
              <w:t>замечания:</w:t>
            </w:r>
          </w:p>
          <w:p w14:paraId="73A6976E" w14:textId="77777777" w:rsidR="00E169A8" w:rsidRPr="00E169A8" w:rsidRDefault="00E169A8" w:rsidP="00E169A8">
            <w:pPr>
              <w:jc w:val="both"/>
              <w:rPr>
                <w:rFonts w:ascii="Times New Roman" w:hAnsi="Times New Roman" w:cs="Times New Roman"/>
                <w:sz w:val="24"/>
                <w:szCs w:val="24"/>
              </w:rPr>
            </w:pPr>
            <w:r w:rsidRPr="00E169A8">
              <w:rPr>
                <w:rFonts w:ascii="Times New Roman" w:hAnsi="Times New Roman" w:cs="Times New Roman"/>
                <w:sz w:val="24"/>
                <w:szCs w:val="24"/>
              </w:rPr>
              <w:t>а) проектируемые положения пункта 1 статьи 8 законопроекта предусматривают дополнение общих принципов государственной политики в сфере водоснабжения и водоотведения обязанностью регулируемых организаций использовать доходы от регулируемой деятельности на цели осуществления такой деятельности. Вместе с тем, какие-либо обязанности регулируемых организаций не могут являться принципами государственной политики;</w:t>
            </w:r>
          </w:p>
          <w:p w14:paraId="590C3DE9" w14:textId="77777777" w:rsidR="00E169A8" w:rsidRPr="00E169A8" w:rsidRDefault="00E169A8" w:rsidP="00E169A8">
            <w:pPr>
              <w:jc w:val="both"/>
              <w:rPr>
                <w:rFonts w:ascii="Times New Roman" w:hAnsi="Times New Roman" w:cs="Times New Roman"/>
                <w:sz w:val="24"/>
                <w:szCs w:val="24"/>
              </w:rPr>
            </w:pPr>
            <w:proofErr w:type="gramStart"/>
            <w:r w:rsidRPr="00E169A8">
              <w:rPr>
                <w:rFonts w:ascii="Times New Roman" w:hAnsi="Times New Roman" w:cs="Times New Roman"/>
                <w:sz w:val="24"/>
                <w:szCs w:val="24"/>
              </w:rPr>
              <w:t>б) проектируемыми нормами подпункта «в» пункта 2 статьи 8 законопроекта предусмотрено дополнение положениями о раздельном учете «финансовых результатов» предмета регулирования нормативного правового акта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 порядке ведения раздельного учета затрат по регулируемым видам деятельности и системы их классификации.</w:t>
            </w:r>
            <w:proofErr w:type="gramEnd"/>
            <w:r w:rsidRPr="00E169A8">
              <w:rPr>
                <w:rFonts w:ascii="Times New Roman" w:hAnsi="Times New Roman" w:cs="Times New Roman"/>
                <w:sz w:val="24"/>
                <w:szCs w:val="24"/>
              </w:rPr>
              <w:t xml:space="preserve"> Вместе с тем, положениями части 12 статьи 31 Федерального закона от 07.12.2011 № 416-ФЗ «О водоснабжении и водоотведении» предмет указанного подзаконного акта уже включает отношения по раздельному учету доходов от регулируемой деятельности, как и термин «финансовый результат» не является правовым;</w:t>
            </w:r>
          </w:p>
          <w:p w14:paraId="45B003AA" w14:textId="77777777" w:rsidR="00E169A8" w:rsidRPr="00E169A8" w:rsidRDefault="00E169A8" w:rsidP="00E169A8">
            <w:pPr>
              <w:jc w:val="both"/>
              <w:rPr>
                <w:rFonts w:ascii="Times New Roman" w:hAnsi="Times New Roman" w:cs="Times New Roman"/>
                <w:sz w:val="24"/>
                <w:szCs w:val="24"/>
              </w:rPr>
            </w:pPr>
            <w:r w:rsidRPr="00E169A8">
              <w:rPr>
                <w:rFonts w:ascii="Times New Roman" w:hAnsi="Times New Roman" w:cs="Times New Roman"/>
                <w:sz w:val="24"/>
                <w:szCs w:val="24"/>
              </w:rPr>
              <w:t xml:space="preserve">в) использование терминов, не являющих </w:t>
            </w:r>
            <w:proofErr w:type="gramStart"/>
            <w:r w:rsidRPr="00E169A8">
              <w:rPr>
                <w:rFonts w:ascii="Times New Roman" w:hAnsi="Times New Roman" w:cs="Times New Roman"/>
                <w:sz w:val="24"/>
                <w:szCs w:val="24"/>
              </w:rPr>
              <w:t>правовыми</w:t>
            </w:r>
            <w:proofErr w:type="gramEnd"/>
            <w:r w:rsidRPr="00E169A8">
              <w:rPr>
                <w:rFonts w:ascii="Times New Roman" w:hAnsi="Times New Roman" w:cs="Times New Roman"/>
                <w:sz w:val="24"/>
                <w:szCs w:val="24"/>
              </w:rPr>
              <w:t xml:space="preserve"> - «средств обслуживания инфраструктуры», «виды и направления затрат», «инвестиционные ресурсы», «средства оплаты труда».</w:t>
            </w:r>
          </w:p>
          <w:p w14:paraId="343BA140" w14:textId="7CE37384" w:rsidR="00E169A8" w:rsidRPr="00154523" w:rsidRDefault="00E169A8" w:rsidP="00154523">
            <w:pPr>
              <w:jc w:val="both"/>
              <w:rPr>
                <w:rFonts w:ascii="Times New Roman" w:hAnsi="Times New Roman" w:cs="Times New Roman"/>
                <w:sz w:val="24"/>
                <w:szCs w:val="24"/>
              </w:rPr>
            </w:pPr>
          </w:p>
        </w:tc>
      </w:tr>
      <w:tr w:rsidR="0033609E" w:rsidRPr="006F41A6" w14:paraId="4513906E" w14:textId="77777777" w:rsidTr="00851415">
        <w:trPr>
          <w:cantSplit/>
        </w:trPr>
        <w:tc>
          <w:tcPr>
            <w:tcW w:w="10065" w:type="dxa"/>
            <w:shd w:val="clear" w:color="auto" w:fill="F2F2F2" w:themeFill="background1" w:themeFillShade="F2"/>
            <w:tcMar>
              <w:top w:w="113" w:type="dxa"/>
              <w:bottom w:w="113" w:type="dxa"/>
            </w:tcMar>
          </w:tcPr>
          <w:p w14:paraId="6F3E536E" w14:textId="77777777" w:rsidR="0033609E" w:rsidRPr="006F41A6" w:rsidRDefault="005751E7" w:rsidP="00851415">
            <w:pPr>
              <w:jc w:val="both"/>
              <w:rPr>
                <w:rFonts w:ascii="Times New Roman" w:hAnsi="Times New Roman" w:cs="Times New Roman"/>
                <w:sz w:val="24"/>
                <w:szCs w:val="24"/>
              </w:rPr>
            </w:pPr>
            <w:r w:rsidRPr="006F41A6">
              <w:rPr>
                <w:rFonts w:ascii="Times New Roman" w:hAnsi="Times New Roman" w:cs="Times New Roman"/>
                <w:sz w:val="24"/>
                <w:szCs w:val="24"/>
              </w:rPr>
              <w:t>Содержит ли проект акта нормы, положения и термины, позволяющие их толковать неоднозначно? Если да, укажите их.</w:t>
            </w:r>
          </w:p>
        </w:tc>
      </w:tr>
      <w:tr w:rsidR="0033609E" w:rsidRPr="006F41A6" w14:paraId="607C6804" w14:textId="77777777" w:rsidTr="00851415">
        <w:trPr>
          <w:cantSplit/>
        </w:trPr>
        <w:tc>
          <w:tcPr>
            <w:tcW w:w="10065" w:type="dxa"/>
            <w:tcMar>
              <w:top w:w="113" w:type="dxa"/>
              <w:bottom w:w="113" w:type="dxa"/>
            </w:tcMar>
          </w:tcPr>
          <w:p w14:paraId="1A98B457" w14:textId="77777777" w:rsidR="00E315C4" w:rsidRPr="00E315C4" w:rsidRDefault="00E315C4" w:rsidP="00E315C4">
            <w:pPr>
              <w:ind w:firstLine="709"/>
              <w:jc w:val="both"/>
              <w:rPr>
                <w:rFonts w:ascii="Times New Roman" w:hAnsi="Times New Roman" w:cs="Times New Roman"/>
                <w:sz w:val="24"/>
                <w:szCs w:val="24"/>
              </w:rPr>
            </w:pPr>
            <w:r w:rsidRPr="00E315C4">
              <w:rPr>
                <w:rFonts w:ascii="Times New Roman" w:hAnsi="Times New Roman" w:cs="Times New Roman"/>
                <w:sz w:val="24"/>
                <w:szCs w:val="24"/>
              </w:rPr>
              <w:t>В законопроекте отсутствуют критерии неисполнения инвестиционной программы регулируемой организации.</w:t>
            </w:r>
          </w:p>
          <w:p w14:paraId="6F4B220D" w14:textId="77777777" w:rsidR="00E315C4" w:rsidRPr="00E315C4" w:rsidRDefault="00E315C4" w:rsidP="00E315C4">
            <w:pPr>
              <w:ind w:firstLine="709"/>
              <w:jc w:val="both"/>
              <w:rPr>
                <w:rFonts w:ascii="Times New Roman" w:hAnsi="Times New Roman" w:cs="Times New Roman"/>
                <w:sz w:val="24"/>
                <w:szCs w:val="24"/>
              </w:rPr>
            </w:pPr>
            <w:r w:rsidRPr="00E315C4">
              <w:rPr>
                <w:rFonts w:ascii="Times New Roman" w:hAnsi="Times New Roman" w:cs="Times New Roman"/>
                <w:sz w:val="24"/>
                <w:szCs w:val="24"/>
              </w:rPr>
              <w:t>Законопроектом предполагается утверждение правил согласования и утверждения инвестиционных программ регулируемых организаций, а также порядка и критериев принятия уполномоченными органами государственного контроля (надзора) решений об исполнении</w:t>
            </w:r>
            <w:r w:rsidR="006A4E2D" w:rsidRPr="003F3282">
              <w:rPr>
                <w:rFonts w:ascii="Times New Roman" w:hAnsi="Times New Roman" w:cs="Times New Roman"/>
                <w:sz w:val="24"/>
                <w:szCs w:val="24"/>
              </w:rPr>
              <w:t xml:space="preserve"> </w:t>
            </w:r>
            <w:r w:rsidR="006A4E2D">
              <w:rPr>
                <w:rFonts w:ascii="Times New Roman" w:hAnsi="Times New Roman" w:cs="Times New Roman"/>
                <w:sz w:val="24"/>
                <w:szCs w:val="24"/>
              </w:rPr>
              <w:t>либо о неисполнении</w:t>
            </w:r>
            <w:r w:rsidRPr="00E315C4">
              <w:rPr>
                <w:rFonts w:ascii="Times New Roman" w:hAnsi="Times New Roman" w:cs="Times New Roman"/>
                <w:sz w:val="24"/>
                <w:szCs w:val="24"/>
              </w:rPr>
              <w:t xml:space="preserve"> инвестиционной программы. Однако</w:t>
            </w:r>
            <w:proofErr w:type="gramStart"/>
            <w:r w:rsidRPr="00E315C4">
              <w:rPr>
                <w:rFonts w:ascii="Times New Roman" w:hAnsi="Times New Roman" w:cs="Times New Roman"/>
                <w:sz w:val="24"/>
                <w:szCs w:val="24"/>
              </w:rPr>
              <w:t>,</w:t>
            </w:r>
            <w:proofErr w:type="gramEnd"/>
            <w:r w:rsidRPr="00E315C4">
              <w:rPr>
                <w:rFonts w:ascii="Times New Roman" w:hAnsi="Times New Roman" w:cs="Times New Roman"/>
                <w:sz w:val="24"/>
                <w:szCs w:val="24"/>
              </w:rPr>
              <w:t xml:space="preserve"> указанные критерии  никак не конкретизируется самим Законопроектом.</w:t>
            </w:r>
          </w:p>
          <w:p w14:paraId="3066529F" w14:textId="77777777" w:rsidR="0033609E" w:rsidRPr="006F41A6" w:rsidRDefault="00E315C4" w:rsidP="00E315C4">
            <w:pPr>
              <w:ind w:firstLine="709"/>
              <w:jc w:val="both"/>
              <w:rPr>
                <w:rFonts w:ascii="Times New Roman" w:hAnsi="Times New Roman" w:cs="Times New Roman"/>
                <w:sz w:val="24"/>
                <w:szCs w:val="24"/>
              </w:rPr>
            </w:pPr>
            <w:r w:rsidRPr="00E315C4">
              <w:rPr>
                <w:rFonts w:ascii="Times New Roman" w:hAnsi="Times New Roman" w:cs="Times New Roman"/>
                <w:sz w:val="24"/>
                <w:szCs w:val="24"/>
              </w:rPr>
              <w:t>Отсутствие в законопроекте четкого перечня критериев принятия уполномоченными органами государственно</w:t>
            </w:r>
            <w:r w:rsidR="003F3282">
              <w:rPr>
                <w:rFonts w:ascii="Times New Roman" w:hAnsi="Times New Roman" w:cs="Times New Roman"/>
                <w:sz w:val="24"/>
                <w:szCs w:val="24"/>
              </w:rPr>
              <w:t>го контроля (надзора) решений о</w:t>
            </w:r>
            <w:r w:rsidRPr="00E315C4">
              <w:rPr>
                <w:rFonts w:ascii="Times New Roman" w:hAnsi="Times New Roman" w:cs="Times New Roman"/>
                <w:sz w:val="24"/>
                <w:szCs w:val="24"/>
              </w:rPr>
              <w:t xml:space="preserve"> </w:t>
            </w:r>
            <w:r w:rsidR="003F3282">
              <w:rPr>
                <w:rFonts w:ascii="Times New Roman" w:hAnsi="Times New Roman" w:cs="Times New Roman"/>
                <w:sz w:val="24"/>
                <w:szCs w:val="24"/>
              </w:rPr>
              <w:t>не</w:t>
            </w:r>
            <w:r w:rsidRPr="00E315C4">
              <w:rPr>
                <w:rFonts w:ascii="Times New Roman" w:hAnsi="Times New Roman" w:cs="Times New Roman"/>
                <w:sz w:val="24"/>
                <w:szCs w:val="24"/>
              </w:rPr>
              <w:t>исполнении инвестиционной программы несет неопределенность применения</w:t>
            </w:r>
            <w:r w:rsidR="003F3282">
              <w:rPr>
                <w:rFonts w:ascii="Times New Roman" w:hAnsi="Times New Roman" w:cs="Times New Roman"/>
                <w:sz w:val="24"/>
                <w:szCs w:val="24"/>
              </w:rPr>
              <w:t xml:space="preserve"> норм законопроекта и</w:t>
            </w:r>
            <w:r w:rsidRPr="00E315C4">
              <w:rPr>
                <w:rFonts w:ascii="Times New Roman" w:hAnsi="Times New Roman" w:cs="Times New Roman"/>
                <w:sz w:val="24"/>
                <w:szCs w:val="24"/>
              </w:rPr>
              <w:t xml:space="preserve"> риски того, что все организации, осуществляющие регулируемые виды деятельности в сфере теплоснабжения гарантированно попадают под санкции, связанные с неисполнением инвестиционной програ</w:t>
            </w:r>
            <w:r w:rsidR="003F3282">
              <w:rPr>
                <w:rFonts w:ascii="Times New Roman" w:hAnsi="Times New Roman" w:cs="Times New Roman"/>
                <w:sz w:val="24"/>
                <w:szCs w:val="24"/>
              </w:rPr>
              <w:t>ммы по итогам отчетного периода.</w:t>
            </w:r>
          </w:p>
        </w:tc>
      </w:tr>
      <w:tr w:rsidR="000A1215" w:rsidRPr="006F41A6" w14:paraId="208B1D88" w14:textId="77777777" w:rsidTr="00851415">
        <w:trPr>
          <w:cantSplit/>
        </w:trPr>
        <w:tc>
          <w:tcPr>
            <w:tcW w:w="10065" w:type="dxa"/>
            <w:shd w:val="clear" w:color="auto" w:fill="F2F2F2" w:themeFill="background1" w:themeFillShade="F2"/>
            <w:tcMar>
              <w:top w:w="113" w:type="dxa"/>
              <w:bottom w:w="113" w:type="dxa"/>
            </w:tcMar>
          </w:tcPr>
          <w:p w14:paraId="1FAF3B85" w14:textId="77777777" w:rsidR="000A1215" w:rsidRPr="006F41A6" w:rsidRDefault="000A1215" w:rsidP="00851415">
            <w:pPr>
              <w:jc w:val="both"/>
              <w:rPr>
                <w:rFonts w:ascii="Times New Roman" w:hAnsi="Times New Roman" w:cs="Times New Roman"/>
                <w:sz w:val="24"/>
                <w:szCs w:val="24"/>
              </w:rPr>
            </w:pPr>
            <w:r w:rsidRPr="006F41A6">
              <w:rPr>
                <w:rFonts w:ascii="Times New Roman" w:hAnsi="Times New Roman" w:cs="Times New Roman"/>
                <w:sz w:val="24"/>
                <w:szCs w:val="24"/>
              </w:rPr>
              <w:t>Содерж</w:t>
            </w:r>
            <w:r w:rsidR="00FE7101" w:rsidRPr="006F41A6">
              <w:rPr>
                <w:rFonts w:ascii="Times New Roman" w:hAnsi="Times New Roman" w:cs="Times New Roman"/>
                <w:sz w:val="24"/>
                <w:szCs w:val="24"/>
              </w:rPr>
              <w:t>и</w:t>
            </w:r>
            <w:r w:rsidRPr="006F41A6">
              <w:rPr>
                <w:rFonts w:ascii="Times New Roman" w:hAnsi="Times New Roman" w:cs="Times New Roman"/>
                <w:sz w:val="24"/>
                <w:szCs w:val="24"/>
              </w:rPr>
              <w:t xml:space="preserve">т ли проект акта нормы, </w:t>
            </w:r>
            <w:r w:rsidR="00B555F7" w:rsidRPr="006F41A6">
              <w:rPr>
                <w:rFonts w:ascii="Times New Roman" w:hAnsi="Times New Roman" w:cs="Times New Roman"/>
                <w:sz w:val="24"/>
                <w:szCs w:val="24"/>
              </w:rPr>
              <w:t xml:space="preserve">невыполнимые </w:t>
            </w:r>
            <w:r w:rsidRPr="006F41A6">
              <w:rPr>
                <w:rFonts w:ascii="Times New Roman" w:hAnsi="Times New Roman" w:cs="Times New Roman"/>
                <w:sz w:val="24"/>
                <w:szCs w:val="24"/>
              </w:rPr>
              <w:t xml:space="preserve">на практике? </w:t>
            </w:r>
            <w:r w:rsidR="00B555F7" w:rsidRPr="006F41A6">
              <w:rPr>
                <w:rFonts w:ascii="Times New Roman" w:hAnsi="Times New Roman" w:cs="Times New Roman"/>
                <w:sz w:val="24"/>
                <w:szCs w:val="24"/>
              </w:rPr>
              <w:t>Если да, укажите их.</w:t>
            </w:r>
          </w:p>
        </w:tc>
      </w:tr>
      <w:tr w:rsidR="000A1215" w:rsidRPr="006F41A6" w14:paraId="2A016A09" w14:textId="77777777" w:rsidTr="00851415">
        <w:trPr>
          <w:cantSplit/>
        </w:trPr>
        <w:tc>
          <w:tcPr>
            <w:tcW w:w="10065" w:type="dxa"/>
            <w:tcMar>
              <w:top w:w="113" w:type="dxa"/>
              <w:bottom w:w="113" w:type="dxa"/>
            </w:tcMar>
          </w:tcPr>
          <w:p w14:paraId="13F8B770" w14:textId="77777777" w:rsidR="000A1215" w:rsidRDefault="00D6628B" w:rsidP="00C21009">
            <w:pPr>
              <w:ind w:firstLine="709"/>
              <w:jc w:val="both"/>
              <w:rPr>
                <w:rFonts w:ascii="Times New Roman" w:hAnsi="Times New Roman" w:cs="Times New Roman"/>
                <w:sz w:val="24"/>
                <w:szCs w:val="24"/>
              </w:rPr>
            </w:pPr>
            <w:r w:rsidRPr="006F41A6">
              <w:rPr>
                <w:rFonts w:ascii="Times New Roman" w:hAnsi="Times New Roman" w:cs="Times New Roman"/>
                <w:sz w:val="24"/>
                <w:szCs w:val="24"/>
              </w:rPr>
              <w:lastRenderedPageBreak/>
              <w:t xml:space="preserve">Нормы, предлагаемые законопроектом, в части </w:t>
            </w:r>
            <w:r w:rsidR="000B45C2" w:rsidRPr="00957A37">
              <w:rPr>
                <w:rFonts w:ascii="Times New Roman" w:hAnsi="Times New Roman" w:cs="Times New Roman"/>
                <w:sz w:val="24"/>
                <w:szCs w:val="24"/>
              </w:rPr>
              <w:t xml:space="preserve"> </w:t>
            </w:r>
            <w:r w:rsidR="000B45C2">
              <w:rPr>
                <w:rFonts w:ascii="Times New Roman" w:hAnsi="Times New Roman" w:cs="Times New Roman"/>
                <w:sz w:val="24"/>
                <w:szCs w:val="24"/>
              </w:rPr>
              <w:t>санкционирования</w:t>
            </w:r>
            <w:r w:rsidR="00390B3A">
              <w:rPr>
                <w:rFonts w:ascii="Times New Roman" w:hAnsi="Times New Roman" w:cs="Times New Roman"/>
                <w:sz w:val="24"/>
                <w:szCs w:val="24"/>
              </w:rPr>
              <w:t xml:space="preserve"> </w:t>
            </w:r>
            <w:r w:rsidR="00390B3A" w:rsidRPr="000B45C2">
              <w:rPr>
                <w:rFonts w:ascii="Times New Roman" w:hAnsi="Times New Roman" w:cs="Times New Roman"/>
                <w:sz w:val="24"/>
                <w:szCs w:val="24"/>
              </w:rPr>
              <w:t xml:space="preserve"> территориальным органом Федерального казначейства по итогам проведенной им проверки</w:t>
            </w:r>
            <w:r w:rsidR="000B45C2" w:rsidRPr="000B45C2">
              <w:rPr>
                <w:rFonts w:ascii="Times New Roman" w:hAnsi="Times New Roman" w:cs="Times New Roman"/>
                <w:sz w:val="24"/>
                <w:szCs w:val="24"/>
              </w:rPr>
              <w:t xml:space="preserve"> списания</w:t>
            </w:r>
            <w:r w:rsidR="000B45C2">
              <w:rPr>
                <w:rFonts w:ascii="Times New Roman" w:hAnsi="Times New Roman" w:cs="Times New Roman"/>
                <w:sz w:val="24"/>
                <w:szCs w:val="24"/>
              </w:rPr>
              <w:t xml:space="preserve"> </w:t>
            </w:r>
            <w:r w:rsidR="00390B3A">
              <w:rPr>
                <w:rFonts w:ascii="Times New Roman" w:hAnsi="Times New Roman" w:cs="Times New Roman"/>
                <w:sz w:val="24"/>
                <w:szCs w:val="24"/>
              </w:rPr>
              <w:t>денежных средств по каждому виду расходов</w:t>
            </w:r>
            <w:r w:rsidR="00390B3A" w:rsidRPr="00957A37">
              <w:rPr>
                <w:rFonts w:ascii="Times New Roman" w:hAnsi="Times New Roman" w:cs="Times New Roman"/>
                <w:sz w:val="24"/>
                <w:szCs w:val="24"/>
              </w:rPr>
              <w:t xml:space="preserve"> со счетов территориального органа Федерального казначейства, открытых в учреждениях Центрального Банка Российской Федерации,</w:t>
            </w:r>
            <w:r w:rsidR="00390B3A">
              <w:rPr>
                <w:rFonts w:ascii="Times New Roman" w:hAnsi="Times New Roman" w:cs="Times New Roman"/>
                <w:sz w:val="24"/>
                <w:szCs w:val="24"/>
              </w:rPr>
              <w:t xml:space="preserve">  представляются невыполнимыми на практике.</w:t>
            </w:r>
          </w:p>
          <w:p w14:paraId="0157721A" w14:textId="46962150" w:rsidR="00957A37" w:rsidRPr="00957A37" w:rsidRDefault="00390B3A" w:rsidP="00957A37">
            <w:pPr>
              <w:ind w:firstLine="709"/>
              <w:jc w:val="both"/>
              <w:rPr>
                <w:rFonts w:ascii="Times New Roman" w:hAnsi="Times New Roman" w:cs="Times New Roman"/>
                <w:sz w:val="24"/>
                <w:szCs w:val="24"/>
              </w:rPr>
            </w:pPr>
            <w:r w:rsidRPr="00957A37">
              <w:rPr>
                <w:rFonts w:ascii="Times New Roman" w:hAnsi="Times New Roman" w:cs="Times New Roman"/>
                <w:sz w:val="24"/>
                <w:szCs w:val="24"/>
              </w:rPr>
              <w:t>В России насчитывается около 16 тысяч регулируемых организаций в сфере теплоснабжения. Каждая регулируемая организация осуществляет огромное количество расчетных операций.</w:t>
            </w:r>
            <w:r w:rsidR="00957A37">
              <w:rPr>
                <w:rFonts w:ascii="Times New Roman" w:hAnsi="Times New Roman" w:cs="Times New Roman"/>
                <w:sz w:val="28"/>
                <w:szCs w:val="28"/>
              </w:rPr>
              <w:t xml:space="preserve"> </w:t>
            </w:r>
            <w:proofErr w:type="gramStart"/>
            <w:r w:rsidR="00957A37" w:rsidRPr="00957A37">
              <w:rPr>
                <w:rFonts w:ascii="Times New Roman" w:hAnsi="Times New Roman" w:cs="Times New Roman"/>
                <w:sz w:val="24"/>
                <w:szCs w:val="24"/>
              </w:rPr>
              <w:t>Например, у ПАО «Т Плюс» являющейся единой теплоснабжающей организацией, функционирующей в 16 субъектах РФ, обслуживающей 161 тыс. юридических лиц и свыше 14 миллионов физических лиц, количество операций составляет несколько сотен тысяч операций в год, у ПАО «</w:t>
            </w:r>
            <w:proofErr w:type="spellStart"/>
            <w:r w:rsidR="00957A37" w:rsidRPr="00957A37">
              <w:rPr>
                <w:rFonts w:ascii="Times New Roman" w:hAnsi="Times New Roman" w:cs="Times New Roman"/>
                <w:sz w:val="24"/>
                <w:szCs w:val="24"/>
              </w:rPr>
              <w:t>Фортум</w:t>
            </w:r>
            <w:proofErr w:type="spellEnd"/>
            <w:r w:rsidR="00957A37" w:rsidRPr="00957A37">
              <w:rPr>
                <w:rFonts w:ascii="Times New Roman" w:hAnsi="Times New Roman" w:cs="Times New Roman"/>
                <w:sz w:val="24"/>
                <w:szCs w:val="24"/>
              </w:rPr>
              <w:t xml:space="preserve">», обеспечивающей теплоснабжение более миллиона потребителей в 3 субъектах РФ, количество операций ежегодно превышает 42 тысячи. </w:t>
            </w:r>
            <w:proofErr w:type="gramEnd"/>
          </w:p>
          <w:p w14:paraId="47A1ECAC" w14:textId="77777777" w:rsidR="00390B3A" w:rsidRPr="006F41A6" w:rsidRDefault="00390B3A" w:rsidP="00C21009">
            <w:pPr>
              <w:ind w:firstLine="709"/>
              <w:jc w:val="both"/>
              <w:rPr>
                <w:rFonts w:ascii="Times New Roman" w:hAnsi="Times New Roman" w:cs="Times New Roman"/>
                <w:sz w:val="24"/>
                <w:szCs w:val="24"/>
              </w:rPr>
            </w:pPr>
            <w:r w:rsidRPr="00957A37">
              <w:rPr>
                <w:rFonts w:ascii="Times New Roman" w:hAnsi="Times New Roman" w:cs="Times New Roman"/>
                <w:sz w:val="24"/>
                <w:szCs w:val="24"/>
              </w:rPr>
              <w:t xml:space="preserve"> Проверка в ручном режиме такого количества операций силами </w:t>
            </w:r>
            <w:r>
              <w:rPr>
                <w:rFonts w:ascii="Times New Roman" w:hAnsi="Times New Roman" w:cs="Times New Roman"/>
                <w:sz w:val="24"/>
                <w:szCs w:val="24"/>
              </w:rPr>
              <w:t>территориального органа</w:t>
            </w:r>
            <w:r w:rsidRPr="000B45C2">
              <w:rPr>
                <w:rFonts w:ascii="Times New Roman" w:hAnsi="Times New Roman" w:cs="Times New Roman"/>
                <w:sz w:val="24"/>
                <w:szCs w:val="24"/>
              </w:rPr>
              <w:t xml:space="preserve"> Федерального казначейства </w:t>
            </w:r>
            <w:r w:rsidRPr="00957A37">
              <w:rPr>
                <w:rFonts w:ascii="Times New Roman" w:hAnsi="Times New Roman" w:cs="Times New Roman"/>
                <w:sz w:val="24"/>
                <w:szCs w:val="24"/>
              </w:rPr>
              <w:t xml:space="preserve"> приведет к значительному затруднению осуществления обычной хозяйственной деятельности предприятий и ухудшению платежной дисциплины в расчетах за коммунальные и энергетические ресурсы.</w:t>
            </w:r>
          </w:p>
        </w:tc>
      </w:tr>
      <w:tr w:rsidR="00DB7708" w:rsidRPr="006F41A6" w14:paraId="27520309" w14:textId="77777777" w:rsidTr="00851415">
        <w:trPr>
          <w:cantSplit/>
        </w:trPr>
        <w:tc>
          <w:tcPr>
            <w:tcW w:w="10065" w:type="dxa"/>
            <w:shd w:val="clear" w:color="auto" w:fill="F2F2F2" w:themeFill="background1" w:themeFillShade="F2"/>
            <w:tcMar>
              <w:top w:w="113" w:type="dxa"/>
              <w:bottom w:w="113" w:type="dxa"/>
            </w:tcMar>
          </w:tcPr>
          <w:p w14:paraId="134DB629" w14:textId="77777777" w:rsidR="00DB7708" w:rsidRPr="006F41A6" w:rsidRDefault="00DB7708" w:rsidP="00851415">
            <w:pPr>
              <w:jc w:val="both"/>
              <w:rPr>
                <w:rFonts w:ascii="Times New Roman" w:hAnsi="Times New Roman" w:cs="Times New Roman"/>
                <w:sz w:val="24"/>
                <w:szCs w:val="24"/>
              </w:rPr>
            </w:pPr>
            <w:r w:rsidRPr="006F41A6">
              <w:rPr>
                <w:rFonts w:ascii="Times New Roman" w:hAnsi="Times New Roman" w:cs="Times New Roman"/>
                <w:sz w:val="24"/>
                <w:szCs w:val="24"/>
              </w:rPr>
              <w:t xml:space="preserve">Требуется ли переходный период для вступления в силу проекта акта? </w:t>
            </w:r>
            <w:r w:rsidR="000A1215" w:rsidRPr="006F41A6">
              <w:rPr>
                <w:rFonts w:ascii="Times New Roman" w:hAnsi="Times New Roman" w:cs="Times New Roman"/>
                <w:sz w:val="24"/>
                <w:szCs w:val="24"/>
              </w:rPr>
              <w:t xml:space="preserve">Если да, укажите, каким он должен быть, либо какую дату </w:t>
            </w:r>
            <w:r w:rsidRPr="006F41A6">
              <w:rPr>
                <w:rFonts w:ascii="Times New Roman" w:hAnsi="Times New Roman" w:cs="Times New Roman"/>
                <w:sz w:val="24"/>
                <w:szCs w:val="24"/>
              </w:rPr>
              <w:t>вступления в силу проекта акта</w:t>
            </w:r>
            <w:r w:rsidR="000A1215" w:rsidRPr="006F41A6">
              <w:rPr>
                <w:rFonts w:ascii="Times New Roman" w:hAnsi="Times New Roman" w:cs="Times New Roman"/>
                <w:sz w:val="24"/>
                <w:szCs w:val="24"/>
              </w:rPr>
              <w:t xml:space="preserve"> следует предусмотреть</w:t>
            </w:r>
            <w:r w:rsidR="00B555F7" w:rsidRPr="006F41A6">
              <w:rPr>
                <w:rFonts w:ascii="Times New Roman" w:hAnsi="Times New Roman" w:cs="Times New Roman"/>
                <w:sz w:val="24"/>
                <w:szCs w:val="24"/>
              </w:rPr>
              <w:t>.</w:t>
            </w:r>
          </w:p>
        </w:tc>
      </w:tr>
      <w:tr w:rsidR="00DB7708" w:rsidRPr="006F41A6" w14:paraId="307007FD" w14:textId="77777777" w:rsidTr="00851415">
        <w:trPr>
          <w:cantSplit/>
        </w:trPr>
        <w:tc>
          <w:tcPr>
            <w:tcW w:w="10065" w:type="dxa"/>
            <w:tcMar>
              <w:top w:w="113" w:type="dxa"/>
              <w:bottom w:w="113" w:type="dxa"/>
            </w:tcMar>
          </w:tcPr>
          <w:p w14:paraId="104B3655" w14:textId="722E8B00" w:rsidR="00DB7708" w:rsidRPr="006F41A6" w:rsidRDefault="00D6628B" w:rsidP="00851415">
            <w:pPr>
              <w:jc w:val="both"/>
              <w:rPr>
                <w:rFonts w:ascii="Times New Roman" w:hAnsi="Times New Roman" w:cs="Times New Roman"/>
                <w:sz w:val="24"/>
                <w:szCs w:val="24"/>
              </w:rPr>
            </w:pPr>
            <w:r w:rsidRPr="006F41A6">
              <w:rPr>
                <w:rFonts w:ascii="Times New Roman" w:hAnsi="Times New Roman" w:cs="Times New Roman"/>
                <w:sz w:val="24"/>
                <w:szCs w:val="24"/>
              </w:rPr>
              <w:t xml:space="preserve">. </w:t>
            </w:r>
          </w:p>
        </w:tc>
      </w:tr>
      <w:tr w:rsidR="00DB7708" w:rsidRPr="006F41A6" w14:paraId="77ECD89D" w14:textId="77777777" w:rsidTr="00851415">
        <w:trPr>
          <w:cantSplit/>
        </w:trPr>
        <w:tc>
          <w:tcPr>
            <w:tcW w:w="10065" w:type="dxa"/>
            <w:shd w:val="clear" w:color="auto" w:fill="F2F2F2" w:themeFill="background1" w:themeFillShade="F2"/>
            <w:tcMar>
              <w:top w:w="113" w:type="dxa"/>
              <w:bottom w:w="113" w:type="dxa"/>
            </w:tcMar>
          </w:tcPr>
          <w:p w14:paraId="54EF35B9" w14:textId="77777777" w:rsidR="00DB7708" w:rsidRPr="006F41A6" w:rsidRDefault="00B555F7" w:rsidP="00851415">
            <w:pPr>
              <w:jc w:val="both"/>
              <w:rPr>
                <w:rFonts w:ascii="Times New Roman" w:hAnsi="Times New Roman" w:cs="Times New Roman"/>
                <w:sz w:val="24"/>
                <w:szCs w:val="24"/>
              </w:rPr>
            </w:pPr>
            <w:r w:rsidRPr="006F41A6">
              <w:rPr>
                <w:rFonts w:ascii="Times New Roman" w:hAnsi="Times New Roman" w:cs="Times New Roman"/>
                <w:sz w:val="24"/>
                <w:szCs w:val="24"/>
              </w:rPr>
              <w:t xml:space="preserve">При наличии </w:t>
            </w:r>
            <w:r w:rsidR="00DB7708" w:rsidRPr="006F41A6">
              <w:rPr>
                <w:rFonts w:ascii="Times New Roman" w:hAnsi="Times New Roman" w:cs="Times New Roman"/>
                <w:sz w:val="24"/>
                <w:szCs w:val="24"/>
              </w:rPr>
              <w:t>дополнительны</w:t>
            </w:r>
            <w:r w:rsidRPr="006F41A6">
              <w:rPr>
                <w:rFonts w:ascii="Times New Roman" w:hAnsi="Times New Roman" w:cs="Times New Roman"/>
                <w:sz w:val="24"/>
                <w:szCs w:val="24"/>
              </w:rPr>
              <w:t>х</w:t>
            </w:r>
            <w:r w:rsidR="00DB7708" w:rsidRPr="006F41A6">
              <w:rPr>
                <w:rFonts w:ascii="Times New Roman" w:hAnsi="Times New Roman" w:cs="Times New Roman"/>
                <w:sz w:val="24"/>
                <w:szCs w:val="24"/>
              </w:rPr>
              <w:t xml:space="preserve"> замечани</w:t>
            </w:r>
            <w:r w:rsidRPr="006F41A6">
              <w:rPr>
                <w:rFonts w:ascii="Times New Roman" w:hAnsi="Times New Roman" w:cs="Times New Roman"/>
                <w:sz w:val="24"/>
                <w:szCs w:val="24"/>
              </w:rPr>
              <w:t>й и</w:t>
            </w:r>
            <w:r w:rsidR="00DB7708" w:rsidRPr="006F41A6">
              <w:rPr>
                <w:rFonts w:ascii="Times New Roman" w:hAnsi="Times New Roman" w:cs="Times New Roman"/>
                <w:sz w:val="24"/>
                <w:szCs w:val="24"/>
              </w:rPr>
              <w:t xml:space="preserve"> предложени</w:t>
            </w:r>
            <w:r w:rsidRPr="006F41A6">
              <w:rPr>
                <w:rFonts w:ascii="Times New Roman" w:hAnsi="Times New Roman" w:cs="Times New Roman"/>
                <w:sz w:val="24"/>
                <w:szCs w:val="24"/>
              </w:rPr>
              <w:t>й</w:t>
            </w:r>
            <w:r w:rsidR="00DB7708" w:rsidRPr="006F41A6">
              <w:rPr>
                <w:rFonts w:ascii="Times New Roman" w:hAnsi="Times New Roman" w:cs="Times New Roman"/>
                <w:sz w:val="24"/>
                <w:szCs w:val="24"/>
              </w:rPr>
              <w:t xml:space="preserve"> </w:t>
            </w:r>
            <w:r w:rsidRPr="006F41A6">
              <w:rPr>
                <w:rFonts w:ascii="Times New Roman" w:hAnsi="Times New Roman" w:cs="Times New Roman"/>
                <w:sz w:val="24"/>
                <w:szCs w:val="24"/>
              </w:rPr>
              <w:t>опишите</w:t>
            </w:r>
            <w:r w:rsidR="00FE7101" w:rsidRPr="006F41A6">
              <w:rPr>
                <w:rFonts w:ascii="Times New Roman" w:hAnsi="Times New Roman" w:cs="Times New Roman"/>
                <w:sz w:val="24"/>
                <w:szCs w:val="24"/>
              </w:rPr>
              <w:t xml:space="preserve"> их в произвольной форме</w:t>
            </w:r>
            <w:r w:rsidR="00051FC8" w:rsidRPr="006F41A6">
              <w:rPr>
                <w:rFonts w:ascii="Times New Roman" w:hAnsi="Times New Roman" w:cs="Times New Roman"/>
                <w:sz w:val="24"/>
                <w:szCs w:val="24"/>
              </w:rPr>
              <w:t xml:space="preserve"> </w:t>
            </w:r>
            <w:r w:rsidR="005F0478" w:rsidRPr="006F41A6">
              <w:rPr>
                <w:rFonts w:ascii="Times New Roman" w:hAnsi="Times New Roman" w:cs="Times New Roman"/>
                <w:sz w:val="24"/>
                <w:szCs w:val="24"/>
              </w:rPr>
              <w:t>и/</w:t>
            </w:r>
            <w:r w:rsidR="00051FC8" w:rsidRPr="006F41A6">
              <w:rPr>
                <w:rFonts w:ascii="Times New Roman" w:hAnsi="Times New Roman" w:cs="Times New Roman"/>
                <w:sz w:val="24"/>
                <w:szCs w:val="24"/>
              </w:rPr>
              <w:t xml:space="preserve">или </w:t>
            </w:r>
            <w:r w:rsidR="005F0478" w:rsidRPr="006F41A6">
              <w:rPr>
                <w:rFonts w:ascii="Times New Roman" w:hAnsi="Times New Roman" w:cs="Times New Roman"/>
                <w:sz w:val="24"/>
                <w:szCs w:val="24"/>
              </w:rPr>
              <w:t>приложите к Вашему письму соответствующие материалы</w:t>
            </w:r>
            <w:r w:rsidR="00FE7101" w:rsidRPr="006F41A6">
              <w:rPr>
                <w:rFonts w:ascii="Times New Roman" w:hAnsi="Times New Roman" w:cs="Times New Roman"/>
                <w:sz w:val="24"/>
                <w:szCs w:val="24"/>
              </w:rPr>
              <w:t>.</w:t>
            </w:r>
          </w:p>
        </w:tc>
      </w:tr>
      <w:tr w:rsidR="00A102BE" w:rsidRPr="006F41A6" w14:paraId="0F0F21B4" w14:textId="77777777" w:rsidTr="00851415">
        <w:trPr>
          <w:cantSplit/>
        </w:trPr>
        <w:tc>
          <w:tcPr>
            <w:tcW w:w="10065" w:type="dxa"/>
            <w:tcMar>
              <w:top w:w="113" w:type="dxa"/>
              <w:bottom w:w="113" w:type="dxa"/>
            </w:tcMar>
          </w:tcPr>
          <w:p w14:paraId="543EFA24" w14:textId="6ED11A5C" w:rsidR="00A102BE" w:rsidRPr="006F41A6" w:rsidRDefault="00BE2784" w:rsidP="00A102BE">
            <w:pPr>
              <w:rPr>
                <w:rFonts w:ascii="Times New Roman" w:hAnsi="Times New Roman" w:cs="Times New Roman"/>
                <w:sz w:val="24"/>
                <w:szCs w:val="24"/>
              </w:rPr>
            </w:pPr>
            <w:r w:rsidRPr="00BE2784">
              <w:rPr>
                <w:rFonts w:ascii="Times New Roman" w:hAnsi="Times New Roman" w:cs="Times New Roman"/>
                <w:sz w:val="24"/>
                <w:szCs w:val="24"/>
              </w:rPr>
              <w:t>Законопроект не поддерживается, предлагается прекратить его разработку</w:t>
            </w:r>
          </w:p>
        </w:tc>
      </w:tr>
    </w:tbl>
    <w:p w14:paraId="528CBC13" w14:textId="77777777" w:rsidR="00430D0A" w:rsidRPr="006F41A6" w:rsidRDefault="00430D0A" w:rsidP="00430D0A">
      <w:pPr>
        <w:spacing w:after="100" w:afterAutospacing="1"/>
        <w:rPr>
          <w:rFonts w:ascii="Times New Roman" w:hAnsi="Times New Roman" w:cs="Times New Roman"/>
        </w:rPr>
      </w:pPr>
    </w:p>
    <w:sectPr w:rsidR="00430D0A" w:rsidRPr="006F41A6" w:rsidSect="006A7560">
      <w:headerReference w:type="default" r:id="rId17"/>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E4018" w14:textId="77777777" w:rsidR="00291939" w:rsidRDefault="00291939" w:rsidP="0055633C">
      <w:pPr>
        <w:spacing w:after="0" w:line="240" w:lineRule="auto"/>
      </w:pPr>
      <w:r>
        <w:separator/>
      </w:r>
    </w:p>
  </w:endnote>
  <w:endnote w:type="continuationSeparator" w:id="0">
    <w:p w14:paraId="7EBA48DC" w14:textId="77777777" w:rsidR="00291939" w:rsidRDefault="00291939" w:rsidP="005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42A8" w14:textId="77777777" w:rsidR="000C65F4" w:rsidRDefault="000C65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8853" w14:textId="77777777" w:rsidR="008E7F4E" w:rsidRDefault="005A2E85">
    <w:pPr>
      <w:pStyle w:val="a7"/>
    </w:pPr>
    <w:r>
      <w:rPr>
        <w:noProof/>
        <w:lang w:eastAsia="ru-RU"/>
      </w:rPr>
      <w:drawing>
        <wp:anchor distT="0" distB="0" distL="114300" distR="114300" simplePos="0" relativeHeight="251658240" behindDoc="0" locked="0" layoutInCell="1" allowOverlap="1" wp14:anchorId="41226202" wp14:editId="5F16C835">
          <wp:simplePos x="0" y="0"/>
          <wp:positionH relativeFrom="column">
            <wp:align>center</wp:align>
          </wp:positionH>
          <wp:positionV relativeFrom="bottomMargin">
            <wp:posOffset>180340</wp:posOffset>
          </wp:positionV>
          <wp:extent cx="6181200" cy="342000"/>
          <wp:effectExtent l="0" t="0" r="0" b="1270"/>
          <wp:wrapNone/>
          <wp:docPr id="2" name="Рисунок 2" descr="C:\Users\SalnikovIV\Desktop\Бренд\Лента низ Хайре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nikovIV\Desktop\Бренд\Лента низ Хайрез.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1200" cy="34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01DF" w14:textId="77777777" w:rsidR="00B17D0C" w:rsidRDefault="00B17D0C">
    <w:pPr>
      <w:pStyle w:val="a7"/>
    </w:pPr>
    <w:r>
      <w:rPr>
        <w:noProof/>
        <w:lang w:eastAsia="ru-RU"/>
      </w:rPr>
      <w:drawing>
        <wp:inline distT="0" distB="0" distL="0" distR="0" wp14:anchorId="4BFB3B1D" wp14:editId="0017ABB8">
          <wp:extent cx="6181725" cy="342900"/>
          <wp:effectExtent l="0" t="0" r="9525" b="0"/>
          <wp:docPr id="4" name="Рисунок 4" descr="C:\Users\SalnikovIV\Desktop\Бренд\Лента низ Хайре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nikovIV\Desktop\Бренд\Лента низ Хайрез.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D3120" w14:textId="77777777" w:rsidR="00291939" w:rsidRDefault="00291939" w:rsidP="0055633C">
      <w:pPr>
        <w:spacing w:after="0" w:line="240" w:lineRule="auto"/>
      </w:pPr>
      <w:r>
        <w:separator/>
      </w:r>
    </w:p>
  </w:footnote>
  <w:footnote w:type="continuationSeparator" w:id="0">
    <w:p w14:paraId="270AC535" w14:textId="77777777" w:rsidR="00291939" w:rsidRDefault="00291939" w:rsidP="00556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BF90" w14:textId="77777777" w:rsidR="000C65F4" w:rsidRDefault="000C65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09934"/>
      <w:docPartObj>
        <w:docPartGallery w:val="Page Numbers (Top of Page)"/>
        <w:docPartUnique/>
      </w:docPartObj>
    </w:sdtPr>
    <w:sdtEndPr/>
    <w:sdtContent>
      <w:p w14:paraId="5CF7D3FE" w14:textId="77777777" w:rsidR="0055633C" w:rsidRDefault="005A2E85">
        <w:pPr>
          <w:pStyle w:val="a5"/>
          <w:jc w:val="center"/>
        </w:pPr>
        <w:r>
          <w:rPr>
            <w:noProof/>
            <w:lang w:eastAsia="ru-RU"/>
          </w:rPr>
          <w:drawing>
            <wp:anchor distT="0" distB="0" distL="114300" distR="114300" simplePos="0" relativeHeight="251656192" behindDoc="1" locked="0" layoutInCell="1" allowOverlap="1" wp14:anchorId="07AA18C5" wp14:editId="23850520">
              <wp:simplePos x="0" y="0"/>
              <wp:positionH relativeFrom="column">
                <wp:posOffset>0</wp:posOffset>
              </wp:positionH>
              <wp:positionV relativeFrom="paragraph">
                <wp:posOffset>-116205</wp:posOffset>
              </wp:positionV>
              <wp:extent cx="6181725" cy="542925"/>
              <wp:effectExtent l="0" t="0" r="9525" b="9525"/>
              <wp:wrapNone/>
              <wp:docPr id="1" name="Рисунок 1" descr="C:\Users\SalnikovIV\AppData\Local\Microsoft\Windows\Temporary Internet Files\Content.Word\Лен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nikovIV\AppData\Local\Microsoft\Windows\Temporary Internet Files\Content.Word\Лента.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17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33C">
          <w:fldChar w:fldCharType="begin"/>
        </w:r>
        <w:r w:rsidR="0055633C">
          <w:instrText>PAGE   \* MERGEFORMAT</w:instrText>
        </w:r>
        <w:r w:rsidR="0055633C">
          <w:fldChar w:fldCharType="separate"/>
        </w:r>
        <w:r w:rsidR="00B53804">
          <w:rPr>
            <w:noProof/>
          </w:rPr>
          <w:t>2</w:t>
        </w:r>
        <w:r w:rsidR="0055633C">
          <w:fldChar w:fldCharType="end"/>
        </w:r>
      </w:p>
    </w:sdtContent>
  </w:sdt>
  <w:p w14:paraId="2A8CA917" w14:textId="77777777" w:rsidR="0055633C" w:rsidRDefault="0055633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45B4" w14:textId="77777777" w:rsidR="000F4752" w:rsidRDefault="00D601EF">
    <w:pPr>
      <w:pStyle w:val="a5"/>
    </w:pPr>
    <w:r>
      <w:rPr>
        <w:noProof/>
        <w:lang w:eastAsia="ru-RU"/>
      </w:rPr>
      <w:drawing>
        <wp:anchor distT="0" distB="0" distL="114300" distR="114300" simplePos="0" relativeHeight="251659264" behindDoc="1" locked="0" layoutInCell="1" allowOverlap="1" wp14:anchorId="080B7F29" wp14:editId="3C19FC92">
          <wp:simplePos x="0" y="0"/>
          <wp:positionH relativeFrom="column">
            <wp:posOffset>123825</wp:posOffset>
          </wp:positionH>
          <wp:positionV relativeFrom="paragraph">
            <wp:posOffset>0</wp:posOffset>
          </wp:positionV>
          <wp:extent cx="6181725" cy="542925"/>
          <wp:effectExtent l="0" t="0" r="9525" b="9525"/>
          <wp:wrapNone/>
          <wp:docPr id="3" name="Рисунок 3"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нт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97261"/>
      <w:docPartObj>
        <w:docPartGallery w:val="Page Numbers (Top of Page)"/>
        <w:docPartUnique/>
      </w:docPartObj>
    </w:sdtPr>
    <w:sdtEndPr/>
    <w:sdtContent>
      <w:p w14:paraId="6D8045B1" w14:textId="77777777" w:rsidR="00FE7101" w:rsidRDefault="006A7560">
        <w:pPr>
          <w:pStyle w:val="a5"/>
          <w:jc w:val="center"/>
        </w:pPr>
        <w:r>
          <w:rPr>
            <w:noProof/>
            <w:lang w:eastAsia="ru-RU"/>
          </w:rPr>
          <w:drawing>
            <wp:anchor distT="0" distB="0" distL="114300" distR="114300" simplePos="0" relativeHeight="251657216" behindDoc="1" locked="0" layoutInCell="1" allowOverlap="1" wp14:anchorId="27235FB4" wp14:editId="131B362A">
              <wp:simplePos x="0" y="0"/>
              <wp:positionH relativeFrom="column">
                <wp:posOffset>28575</wp:posOffset>
              </wp:positionH>
              <wp:positionV relativeFrom="paragraph">
                <wp:posOffset>-116205</wp:posOffset>
              </wp:positionV>
              <wp:extent cx="6181725" cy="542925"/>
              <wp:effectExtent l="0" t="0" r="9525" b="9525"/>
              <wp:wrapNone/>
              <wp:docPr id="37" name="Рисунок 37" descr="C:\Users\SalnikovIV\AppData\Local\Microsoft\Windows\Temporary Internet Files\Content.Word\Лен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nikovIV\AppData\Local\Microsoft\Windows\Temporary Internet Files\Content.Word\Лента.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17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101">
          <w:fldChar w:fldCharType="begin"/>
        </w:r>
        <w:r w:rsidR="00FE7101">
          <w:instrText>PAGE   \* MERGEFORMAT</w:instrText>
        </w:r>
        <w:r w:rsidR="00FE7101">
          <w:fldChar w:fldCharType="separate"/>
        </w:r>
        <w:r w:rsidR="008923EA">
          <w:rPr>
            <w:noProof/>
          </w:rPr>
          <w:t>11</w:t>
        </w:r>
        <w:r w:rsidR="00FE7101">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71F7A"/>
    <w:multiLevelType w:val="hybridMultilevel"/>
    <w:tmpl w:val="6888BDE6"/>
    <w:lvl w:ilvl="0" w:tplc="67B61F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93655E"/>
    <w:multiLevelType w:val="hybridMultilevel"/>
    <w:tmpl w:val="4454B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CE"/>
    <w:rsid w:val="0000624C"/>
    <w:rsid w:val="00006E98"/>
    <w:rsid w:val="00007E57"/>
    <w:rsid w:val="00013BAF"/>
    <w:rsid w:val="00015F65"/>
    <w:rsid w:val="00017F7A"/>
    <w:rsid w:val="00031526"/>
    <w:rsid w:val="00032B50"/>
    <w:rsid w:val="00034190"/>
    <w:rsid w:val="00034608"/>
    <w:rsid w:val="00043139"/>
    <w:rsid w:val="00051200"/>
    <w:rsid w:val="00051FC8"/>
    <w:rsid w:val="00060E1D"/>
    <w:rsid w:val="0006394C"/>
    <w:rsid w:val="00067770"/>
    <w:rsid w:val="000A1215"/>
    <w:rsid w:val="000A54BA"/>
    <w:rsid w:val="000B45C2"/>
    <w:rsid w:val="000C65F4"/>
    <w:rsid w:val="000F4752"/>
    <w:rsid w:val="00121A4D"/>
    <w:rsid w:val="00125CCF"/>
    <w:rsid w:val="001424EB"/>
    <w:rsid w:val="0014428A"/>
    <w:rsid w:val="00144B4D"/>
    <w:rsid w:val="00154523"/>
    <w:rsid w:val="001746C8"/>
    <w:rsid w:val="001B246A"/>
    <w:rsid w:val="001B2AE6"/>
    <w:rsid w:val="001B3232"/>
    <w:rsid w:val="001D426E"/>
    <w:rsid w:val="001D4D5C"/>
    <w:rsid w:val="001D6F7D"/>
    <w:rsid w:val="00225277"/>
    <w:rsid w:val="00227FD0"/>
    <w:rsid w:val="00236907"/>
    <w:rsid w:val="00266728"/>
    <w:rsid w:val="00281695"/>
    <w:rsid w:val="00287B3F"/>
    <w:rsid w:val="00291939"/>
    <w:rsid w:val="00292974"/>
    <w:rsid w:val="002953E4"/>
    <w:rsid w:val="00295566"/>
    <w:rsid w:val="002B0B2E"/>
    <w:rsid w:val="002B0C4C"/>
    <w:rsid w:val="002C5886"/>
    <w:rsid w:val="00307AA1"/>
    <w:rsid w:val="003326A0"/>
    <w:rsid w:val="003330CF"/>
    <w:rsid w:val="0033609E"/>
    <w:rsid w:val="0037113E"/>
    <w:rsid w:val="00390B3A"/>
    <w:rsid w:val="003C5E7A"/>
    <w:rsid w:val="003E1C22"/>
    <w:rsid w:val="003E7750"/>
    <w:rsid w:val="003F3282"/>
    <w:rsid w:val="003F4EE7"/>
    <w:rsid w:val="003F6F68"/>
    <w:rsid w:val="00417215"/>
    <w:rsid w:val="00420800"/>
    <w:rsid w:val="00426482"/>
    <w:rsid w:val="00430D0A"/>
    <w:rsid w:val="004338CE"/>
    <w:rsid w:val="00452699"/>
    <w:rsid w:val="00467CAB"/>
    <w:rsid w:val="00471F85"/>
    <w:rsid w:val="00495B48"/>
    <w:rsid w:val="004B2A91"/>
    <w:rsid w:val="004D109D"/>
    <w:rsid w:val="004F3195"/>
    <w:rsid w:val="004F6C67"/>
    <w:rsid w:val="00505A82"/>
    <w:rsid w:val="005222B7"/>
    <w:rsid w:val="00546A34"/>
    <w:rsid w:val="0055633C"/>
    <w:rsid w:val="005669C1"/>
    <w:rsid w:val="00573E6C"/>
    <w:rsid w:val="005751E7"/>
    <w:rsid w:val="00575C3E"/>
    <w:rsid w:val="005812BC"/>
    <w:rsid w:val="0058597F"/>
    <w:rsid w:val="00592D36"/>
    <w:rsid w:val="005A1B29"/>
    <w:rsid w:val="005A2E85"/>
    <w:rsid w:val="005A6893"/>
    <w:rsid w:val="005C146B"/>
    <w:rsid w:val="005C1538"/>
    <w:rsid w:val="005C50B6"/>
    <w:rsid w:val="005D0349"/>
    <w:rsid w:val="005D6968"/>
    <w:rsid w:val="005F0478"/>
    <w:rsid w:val="006100B4"/>
    <w:rsid w:val="00610C35"/>
    <w:rsid w:val="00634D7C"/>
    <w:rsid w:val="00641698"/>
    <w:rsid w:val="00652F9D"/>
    <w:rsid w:val="00656727"/>
    <w:rsid w:val="00660E10"/>
    <w:rsid w:val="00674B78"/>
    <w:rsid w:val="00676FCD"/>
    <w:rsid w:val="00686357"/>
    <w:rsid w:val="0068656A"/>
    <w:rsid w:val="006A074A"/>
    <w:rsid w:val="006A176F"/>
    <w:rsid w:val="006A35B5"/>
    <w:rsid w:val="006A4E2D"/>
    <w:rsid w:val="006A7560"/>
    <w:rsid w:val="006B0EA0"/>
    <w:rsid w:val="006B6CE3"/>
    <w:rsid w:val="006C38E9"/>
    <w:rsid w:val="006C6D6A"/>
    <w:rsid w:val="006D2368"/>
    <w:rsid w:val="006D2909"/>
    <w:rsid w:val="006E32A1"/>
    <w:rsid w:val="006F41A6"/>
    <w:rsid w:val="00747F47"/>
    <w:rsid w:val="0079425B"/>
    <w:rsid w:val="007A336C"/>
    <w:rsid w:val="007C6C38"/>
    <w:rsid w:val="007D1252"/>
    <w:rsid w:val="007D70E0"/>
    <w:rsid w:val="00830E71"/>
    <w:rsid w:val="008500A6"/>
    <w:rsid w:val="00851415"/>
    <w:rsid w:val="0086307D"/>
    <w:rsid w:val="00866255"/>
    <w:rsid w:val="008879B8"/>
    <w:rsid w:val="00891F2F"/>
    <w:rsid w:val="008923EA"/>
    <w:rsid w:val="008A5C65"/>
    <w:rsid w:val="008C673C"/>
    <w:rsid w:val="008E7F4E"/>
    <w:rsid w:val="008F54E3"/>
    <w:rsid w:val="00907595"/>
    <w:rsid w:val="00913AA7"/>
    <w:rsid w:val="00916837"/>
    <w:rsid w:val="009176ED"/>
    <w:rsid w:val="00946670"/>
    <w:rsid w:val="00957A37"/>
    <w:rsid w:val="00961610"/>
    <w:rsid w:val="00963B57"/>
    <w:rsid w:val="009B0F0E"/>
    <w:rsid w:val="009B2AA8"/>
    <w:rsid w:val="009D4D0D"/>
    <w:rsid w:val="009E44BE"/>
    <w:rsid w:val="009F67E3"/>
    <w:rsid w:val="00A02922"/>
    <w:rsid w:val="00A102BE"/>
    <w:rsid w:val="00A44A75"/>
    <w:rsid w:val="00A711BF"/>
    <w:rsid w:val="00A7374A"/>
    <w:rsid w:val="00A819C9"/>
    <w:rsid w:val="00A8544C"/>
    <w:rsid w:val="00A935C5"/>
    <w:rsid w:val="00A93856"/>
    <w:rsid w:val="00A94E6E"/>
    <w:rsid w:val="00A970F2"/>
    <w:rsid w:val="00A97908"/>
    <w:rsid w:val="00AA3792"/>
    <w:rsid w:val="00AC1B95"/>
    <w:rsid w:val="00AD40E5"/>
    <w:rsid w:val="00B10E9A"/>
    <w:rsid w:val="00B13BE8"/>
    <w:rsid w:val="00B17D0C"/>
    <w:rsid w:val="00B4329C"/>
    <w:rsid w:val="00B43F38"/>
    <w:rsid w:val="00B51457"/>
    <w:rsid w:val="00B53804"/>
    <w:rsid w:val="00B555F7"/>
    <w:rsid w:val="00B64FC0"/>
    <w:rsid w:val="00B90C06"/>
    <w:rsid w:val="00BA498B"/>
    <w:rsid w:val="00BC71C2"/>
    <w:rsid w:val="00BE2784"/>
    <w:rsid w:val="00BF0503"/>
    <w:rsid w:val="00C0378E"/>
    <w:rsid w:val="00C206DE"/>
    <w:rsid w:val="00C21009"/>
    <w:rsid w:val="00C44DF7"/>
    <w:rsid w:val="00C52C24"/>
    <w:rsid w:val="00C713C2"/>
    <w:rsid w:val="00C83693"/>
    <w:rsid w:val="00C92901"/>
    <w:rsid w:val="00C953FC"/>
    <w:rsid w:val="00CA37EB"/>
    <w:rsid w:val="00CC2B66"/>
    <w:rsid w:val="00CE0732"/>
    <w:rsid w:val="00CF4629"/>
    <w:rsid w:val="00CF59A5"/>
    <w:rsid w:val="00CF69FF"/>
    <w:rsid w:val="00D0047B"/>
    <w:rsid w:val="00D2248C"/>
    <w:rsid w:val="00D55731"/>
    <w:rsid w:val="00D601EF"/>
    <w:rsid w:val="00D6419C"/>
    <w:rsid w:val="00D6506D"/>
    <w:rsid w:val="00D6628B"/>
    <w:rsid w:val="00D73818"/>
    <w:rsid w:val="00DB7708"/>
    <w:rsid w:val="00DF15E9"/>
    <w:rsid w:val="00E169A8"/>
    <w:rsid w:val="00E222F1"/>
    <w:rsid w:val="00E315C4"/>
    <w:rsid w:val="00E32A71"/>
    <w:rsid w:val="00E42DED"/>
    <w:rsid w:val="00E66239"/>
    <w:rsid w:val="00E73A9A"/>
    <w:rsid w:val="00E955CE"/>
    <w:rsid w:val="00EC04E4"/>
    <w:rsid w:val="00EC7AA2"/>
    <w:rsid w:val="00F32CD2"/>
    <w:rsid w:val="00F54AD3"/>
    <w:rsid w:val="00F82C2A"/>
    <w:rsid w:val="00F91DA0"/>
    <w:rsid w:val="00FA4A24"/>
    <w:rsid w:val="00FD0711"/>
    <w:rsid w:val="00FD0CBD"/>
    <w:rsid w:val="00FE7101"/>
    <w:rsid w:val="00FF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B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633C"/>
    <w:pPr>
      <w:spacing w:after="0" w:line="240" w:lineRule="auto"/>
      <w:jc w:val="both"/>
    </w:pPr>
    <w:rPr>
      <w:rFonts w:ascii="Times New Roman" w:hAnsi="Times New Roman" w:cs="Times New Roman"/>
      <w:sz w:val="26"/>
      <w:szCs w:val="26"/>
      <w:lang w:eastAsia="ru-RU"/>
    </w:rPr>
  </w:style>
  <w:style w:type="character" w:customStyle="1" w:styleId="a4">
    <w:name w:val="Основной текст Знак"/>
    <w:basedOn w:val="a0"/>
    <w:link w:val="a3"/>
    <w:uiPriority w:val="99"/>
    <w:semiHidden/>
    <w:rsid w:val="0055633C"/>
    <w:rPr>
      <w:rFonts w:ascii="Times New Roman" w:hAnsi="Times New Roman" w:cs="Times New Roman"/>
      <w:sz w:val="26"/>
      <w:szCs w:val="26"/>
      <w:lang w:eastAsia="ru-RU"/>
    </w:rPr>
  </w:style>
  <w:style w:type="paragraph" w:styleId="a5">
    <w:name w:val="header"/>
    <w:basedOn w:val="a"/>
    <w:link w:val="a6"/>
    <w:uiPriority w:val="99"/>
    <w:unhideWhenUsed/>
    <w:rsid w:val="005563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33C"/>
  </w:style>
  <w:style w:type="paragraph" w:styleId="a7">
    <w:name w:val="footer"/>
    <w:basedOn w:val="a"/>
    <w:link w:val="a8"/>
    <w:uiPriority w:val="99"/>
    <w:unhideWhenUsed/>
    <w:rsid w:val="005563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33C"/>
  </w:style>
  <w:style w:type="table" w:styleId="a9">
    <w:name w:val="Table Grid"/>
    <w:basedOn w:val="a1"/>
    <w:uiPriority w:val="59"/>
    <w:rsid w:val="00CC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5731"/>
    <w:pPr>
      <w:ind w:left="720"/>
      <w:contextualSpacing/>
    </w:pPr>
  </w:style>
  <w:style w:type="character" w:styleId="ab">
    <w:name w:val="Hyperlink"/>
    <w:basedOn w:val="a0"/>
    <w:uiPriority w:val="99"/>
    <w:unhideWhenUsed/>
    <w:rsid w:val="00B64FC0"/>
    <w:rPr>
      <w:color w:val="0000FF" w:themeColor="hyperlink"/>
      <w:u w:val="single"/>
    </w:rPr>
  </w:style>
  <w:style w:type="paragraph" w:styleId="ac">
    <w:name w:val="Balloon Text"/>
    <w:basedOn w:val="a"/>
    <w:link w:val="ad"/>
    <w:uiPriority w:val="99"/>
    <w:semiHidden/>
    <w:unhideWhenUsed/>
    <w:rsid w:val="001B2A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B2AE6"/>
    <w:rPr>
      <w:rFonts w:ascii="Segoe UI" w:hAnsi="Segoe UI" w:cs="Segoe UI"/>
      <w:sz w:val="18"/>
      <w:szCs w:val="18"/>
    </w:rPr>
  </w:style>
  <w:style w:type="character" w:styleId="ae">
    <w:name w:val="annotation reference"/>
    <w:rsid w:val="00CF59A5"/>
    <w:rPr>
      <w:sz w:val="16"/>
      <w:szCs w:val="16"/>
    </w:rPr>
  </w:style>
  <w:style w:type="paragraph" w:styleId="af">
    <w:name w:val="annotation text"/>
    <w:basedOn w:val="a"/>
    <w:link w:val="af0"/>
    <w:rsid w:val="00CF59A5"/>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CF59A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713C2"/>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f0"/>
    <w:link w:val="af1"/>
    <w:uiPriority w:val="99"/>
    <w:semiHidden/>
    <w:rsid w:val="00C713C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633C"/>
    <w:pPr>
      <w:spacing w:after="0" w:line="240" w:lineRule="auto"/>
      <w:jc w:val="both"/>
    </w:pPr>
    <w:rPr>
      <w:rFonts w:ascii="Times New Roman" w:hAnsi="Times New Roman" w:cs="Times New Roman"/>
      <w:sz w:val="26"/>
      <w:szCs w:val="26"/>
      <w:lang w:eastAsia="ru-RU"/>
    </w:rPr>
  </w:style>
  <w:style w:type="character" w:customStyle="1" w:styleId="a4">
    <w:name w:val="Основной текст Знак"/>
    <w:basedOn w:val="a0"/>
    <w:link w:val="a3"/>
    <w:uiPriority w:val="99"/>
    <w:semiHidden/>
    <w:rsid w:val="0055633C"/>
    <w:rPr>
      <w:rFonts w:ascii="Times New Roman" w:hAnsi="Times New Roman" w:cs="Times New Roman"/>
      <w:sz w:val="26"/>
      <w:szCs w:val="26"/>
      <w:lang w:eastAsia="ru-RU"/>
    </w:rPr>
  </w:style>
  <w:style w:type="paragraph" w:styleId="a5">
    <w:name w:val="header"/>
    <w:basedOn w:val="a"/>
    <w:link w:val="a6"/>
    <w:uiPriority w:val="99"/>
    <w:unhideWhenUsed/>
    <w:rsid w:val="005563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33C"/>
  </w:style>
  <w:style w:type="paragraph" w:styleId="a7">
    <w:name w:val="footer"/>
    <w:basedOn w:val="a"/>
    <w:link w:val="a8"/>
    <w:uiPriority w:val="99"/>
    <w:unhideWhenUsed/>
    <w:rsid w:val="005563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33C"/>
  </w:style>
  <w:style w:type="table" w:styleId="a9">
    <w:name w:val="Table Grid"/>
    <w:basedOn w:val="a1"/>
    <w:uiPriority w:val="59"/>
    <w:rsid w:val="00CC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55731"/>
    <w:pPr>
      <w:ind w:left="720"/>
      <w:contextualSpacing/>
    </w:pPr>
  </w:style>
  <w:style w:type="character" w:styleId="ab">
    <w:name w:val="Hyperlink"/>
    <w:basedOn w:val="a0"/>
    <w:uiPriority w:val="99"/>
    <w:unhideWhenUsed/>
    <w:rsid w:val="00B64FC0"/>
    <w:rPr>
      <w:color w:val="0000FF" w:themeColor="hyperlink"/>
      <w:u w:val="single"/>
    </w:rPr>
  </w:style>
  <w:style w:type="paragraph" w:styleId="ac">
    <w:name w:val="Balloon Text"/>
    <w:basedOn w:val="a"/>
    <w:link w:val="ad"/>
    <w:uiPriority w:val="99"/>
    <w:semiHidden/>
    <w:unhideWhenUsed/>
    <w:rsid w:val="001B2A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B2AE6"/>
    <w:rPr>
      <w:rFonts w:ascii="Segoe UI" w:hAnsi="Segoe UI" w:cs="Segoe UI"/>
      <w:sz w:val="18"/>
      <w:szCs w:val="18"/>
    </w:rPr>
  </w:style>
  <w:style w:type="character" w:styleId="ae">
    <w:name w:val="annotation reference"/>
    <w:rsid w:val="00CF59A5"/>
    <w:rPr>
      <w:sz w:val="16"/>
      <w:szCs w:val="16"/>
    </w:rPr>
  </w:style>
  <w:style w:type="paragraph" w:styleId="af">
    <w:name w:val="annotation text"/>
    <w:basedOn w:val="a"/>
    <w:link w:val="af0"/>
    <w:rsid w:val="00CF59A5"/>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CF59A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713C2"/>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f0"/>
    <w:link w:val="af1"/>
    <w:uiPriority w:val="99"/>
    <w:semiHidden/>
    <w:rsid w:val="00C713C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16">
      <w:bodyDiv w:val="1"/>
      <w:marLeft w:val="0"/>
      <w:marRight w:val="0"/>
      <w:marTop w:val="0"/>
      <w:marBottom w:val="0"/>
      <w:divBdr>
        <w:top w:val="none" w:sz="0" w:space="0" w:color="auto"/>
        <w:left w:val="none" w:sz="0" w:space="0" w:color="auto"/>
        <w:bottom w:val="none" w:sz="0" w:space="0" w:color="auto"/>
        <w:right w:val="none" w:sz="0" w:space="0" w:color="auto"/>
      </w:divBdr>
    </w:div>
    <w:div w:id="756244430">
      <w:bodyDiv w:val="1"/>
      <w:marLeft w:val="0"/>
      <w:marRight w:val="0"/>
      <w:marTop w:val="0"/>
      <w:marBottom w:val="0"/>
      <w:divBdr>
        <w:top w:val="none" w:sz="0" w:space="0" w:color="auto"/>
        <w:left w:val="none" w:sz="0" w:space="0" w:color="auto"/>
        <w:bottom w:val="none" w:sz="0" w:space="0" w:color="auto"/>
        <w:right w:val="none" w:sz="0" w:space="0" w:color="auto"/>
      </w:divBdr>
    </w:div>
    <w:div w:id="1100374845">
      <w:bodyDiv w:val="1"/>
      <w:marLeft w:val="0"/>
      <w:marRight w:val="0"/>
      <w:marTop w:val="0"/>
      <w:marBottom w:val="0"/>
      <w:divBdr>
        <w:top w:val="none" w:sz="0" w:space="0" w:color="auto"/>
        <w:left w:val="none" w:sz="0" w:space="0" w:color="auto"/>
        <w:bottom w:val="none" w:sz="0" w:space="0" w:color="auto"/>
        <w:right w:val="none" w:sz="0" w:space="0" w:color="auto"/>
      </w:divBdr>
    </w:div>
    <w:div w:id="1410272245">
      <w:bodyDiv w:val="1"/>
      <w:marLeft w:val="0"/>
      <w:marRight w:val="0"/>
      <w:marTop w:val="0"/>
      <w:marBottom w:val="0"/>
      <w:divBdr>
        <w:top w:val="none" w:sz="0" w:space="0" w:color="auto"/>
        <w:left w:val="none" w:sz="0" w:space="0" w:color="auto"/>
        <w:bottom w:val="none" w:sz="0" w:space="0" w:color="auto"/>
        <w:right w:val="none" w:sz="0" w:space="0" w:color="auto"/>
      </w:divBdr>
    </w:div>
    <w:div w:id="1594431729">
      <w:bodyDiv w:val="1"/>
      <w:marLeft w:val="0"/>
      <w:marRight w:val="0"/>
      <w:marTop w:val="0"/>
      <w:marBottom w:val="0"/>
      <w:divBdr>
        <w:top w:val="none" w:sz="0" w:space="0" w:color="auto"/>
        <w:left w:val="none" w:sz="0" w:space="0" w:color="auto"/>
        <w:bottom w:val="none" w:sz="0" w:space="0" w:color="auto"/>
        <w:right w:val="none" w:sz="0" w:space="0" w:color="auto"/>
      </w:divBdr>
    </w:div>
    <w:div w:id="1625887015">
      <w:bodyDiv w:val="1"/>
      <w:marLeft w:val="0"/>
      <w:marRight w:val="0"/>
      <w:marTop w:val="0"/>
      <w:marBottom w:val="0"/>
      <w:divBdr>
        <w:top w:val="none" w:sz="0" w:space="0" w:color="auto"/>
        <w:left w:val="none" w:sz="0" w:space="0" w:color="auto"/>
        <w:bottom w:val="none" w:sz="0" w:space="0" w:color="auto"/>
        <w:right w:val="none" w:sz="0" w:space="0" w:color="auto"/>
      </w:divBdr>
    </w:div>
    <w:div w:id="19118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rupnovaAV@economy.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nisovaav@rspp.r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DBD509-3C95-4B2A-A191-DF8EDC03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 Игорь Владимирович</dc:creator>
  <cp:lastModifiedBy>Александров Игорь Николаевич</cp:lastModifiedBy>
  <cp:revision>2</cp:revision>
  <cp:lastPrinted>2017-06-23T08:08:00Z</cp:lastPrinted>
  <dcterms:created xsi:type="dcterms:W3CDTF">2019-01-21T14:46:00Z</dcterms:created>
  <dcterms:modified xsi:type="dcterms:W3CDTF">2019-01-21T14:46:00Z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Owner">
    <vt:lpwstr>Yulia.Bashlay@fortum.com</vt:lpwstr>
  </property>
  <property fmtid="{D5CDD505-2E9C-101B-9397-08002B2CF9AE}" pid="5" name="MSIP_Label_65c3b1a5-3e25-4525-b923-a0572e679d8b_SetDate">
    <vt:lpwstr>2018-12-27T08:13:27.0302165Z</vt:lpwstr>
  </property>
  <property fmtid="{D5CDD505-2E9C-101B-9397-08002B2CF9AE}" pid="6" name="MSIP_Label_65c3b1a5-3e25-4525-b923-a0572e679d8b_Name">
    <vt:lpwstr>Internal</vt:lpwstr>
  </property>
  <property fmtid="{D5CDD505-2E9C-101B-9397-08002B2CF9AE}" pid="7" name="MSIP_Label_65c3b1a5-3e25-4525-b923-a0572e679d8b_Application">
    <vt:lpwstr>Microsoft Azure Information Protection</vt:lpwstr>
  </property>
  <property fmtid="{D5CDD505-2E9C-101B-9397-08002B2CF9AE}" pid="8" name="MSIP_Label_65c3b1a5-3e25-4525-b923-a0572e679d8b_Extended_MSFT_Method">
    <vt:lpwstr>Automatic</vt:lpwstr>
  </property>
  <property fmtid="{D5CDD505-2E9C-101B-9397-08002B2CF9AE}" pid="9" name="MSIP_Label_f45044c0-b6aa-4b2b-834d-65c9ef8bb134_Enabled">
    <vt:lpwstr>True</vt:lpwstr>
  </property>
  <property fmtid="{D5CDD505-2E9C-101B-9397-08002B2CF9AE}" pid="10" name="MSIP_Label_f45044c0-b6aa-4b2b-834d-65c9ef8bb134_SiteId">
    <vt:lpwstr>62a9c2c8-8b09-43be-a7fb-9a87875714a9</vt:lpwstr>
  </property>
  <property fmtid="{D5CDD505-2E9C-101B-9397-08002B2CF9AE}" pid="11" name="MSIP_Label_f45044c0-b6aa-4b2b-834d-65c9ef8bb134_Owner">
    <vt:lpwstr>Yulia.Bashlay@fortum.com</vt:lpwstr>
  </property>
  <property fmtid="{D5CDD505-2E9C-101B-9397-08002B2CF9AE}" pid="12" name="MSIP_Label_f45044c0-b6aa-4b2b-834d-65c9ef8bb134_SetDate">
    <vt:lpwstr>2018-12-27T08:13:27.0302165Z</vt:lpwstr>
  </property>
  <property fmtid="{D5CDD505-2E9C-101B-9397-08002B2CF9AE}" pid="13" name="MSIP_Label_f45044c0-b6aa-4b2b-834d-65c9ef8bb134_Name">
    <vt:lpwstr>Hide Visual Label</vt:lpwstr>
  </property>
  <property fmtid="{D5CDD505-2E9C-101B-9397-08002B2CF9AE}" pid="14" name="MSIP_Label_f45044c0-b6aa-4b2b-834d-65c9ef8bb134_Application">
    <vt:lpwstr>Microsoft Azure Information Protection</vt:lpwstr>
  </property>
  <property fmtid="{D5CDD505-2E9C-101B-9397-08002B2CF9AE}" pid="15" name="MSIP_Label_f45044c0-b6aa-4b2b-834d-65c9ef8bb134_Parent">
    <vt:lpwstr>65c3b1a5-3e25-4525-b923-a0572e679d8b</vt:lpwstr>
  </property>
  <property fmtid="{D5CDD505-2E9C-101B-9397-08002B2CF9AE}" pid="16" name="MSIP_Label_f45044c0-b6aa-4b2b-834d-65c9ef8bb134_Extended_MSFT_Method">
    <vt:lpwstr>Automatic</vt:lpwstr>
  </property>
  <property fmtid="{D5CDD505-2E9C-101B-9397-08002B2CF9AE}" pid="17" name="Sensitivity">
    <vt:lpwstr>Internal Hide Visual Label</vt:lpwstr>
  </property>
</Properties>
</file>