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6" w:rsidRPr="00A546B6" w:rsidRDefault="00A546B6">
      <w:r>
        <w:rPr>
          <w:noProof/>
          <w:lang w:eastAsia="ru-RU"/>
        </w:rPr>
        <w:drawing>
          <wp:inline distT="0" distB="0" distL="0" distR="0" wp14:anchorId="0B830F60" wp14:editId="3DF182FB">
            <wp:extent cx="9782175" cy="6905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546B6" w:rsidRPr="00A546B6" w:rsidSect="00C80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D8"/>
    <w:rsid w:val="004B63D8"/>
    <w:rsid w:val="00834B4F"/>
    <w:rsid w:val="008B29C8"/>
    <w:rsid w:val="00A546B6"/>
    <w:rsid w:val="00C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Эффективность</a:t>
            </a:r>
            <a:r>
              <a:rPr lang="ru-RU" baseline="0"/>
              <a:t> инструментов промышленной политики, </a:t>
            </a:r>
            <a:r>
              <a:rPr lang="ru-RU"/>
              <a:t>%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56341232905769933"/>
          <c:y val="5.4816182459951124E-2"/>
          <c:w val="0.40662644043885948"/>
          <c:h val="0.929325730835369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Субсидии на уплату процентов по кредитам на реализацию новых комплексных инвестиционных проектов в гражданских отраслях промышленности</c:v>
                </c:pt>
                <c:pt idx="1">
                  <c:v>Предоставление субсидий организациям отдельных отраслей промышленности</c:v>
                </c:pt>
                <c:pt idx="2">
                  <c:v>Субсидии на компенсацию части затрат на НИОКР по приоритетным направлениям гражданской промышленности</c:v>
                </c:pt>
                <c:pt idx="3">
                  <c:v>Организация проведения выставок, ярмарок, конференций (в том числе международных) и содействие в их проведении</c:v>
                </c:pt>
                <c:pt idx="4">
                  <c:v>Специальный инвестиционный контракт</c:v>
                </c:pt>
                <c:pt idx="5">
                  <c:v>Фонд развития промышленности</c:v>
                </c:pt>
                <c:pt idx="6">
                  <c:v>Промышленные кластеры</c:v>
                </c:pt>
                <c:pt idx="7">
                  <c:v>Индустриальные (промышленные) парки</c:v>
                </c:pt>
                <c:pt idx="8">
                  <c:v>Государственная информационная система промышленности</c:v>
                </c:pt>
              </c:strCache>
            </c:strRef>
          </c:cat>
          <c:val>
            <c:numRef>
              <c:f>Лист1!$B$2:$B$10</c:f>
              <c:numCache>
                <c:formatCode>###0.0%</c:formatCode>
                <c:ptCount val="9"/>
                <c:pt idx="0">
                  <c:v>0.77500000000000002</c:v>
                </c:pt>
                <c:pt idx="1">
                  <c:v>0.7</c:v>
                </c:pt>
                <c:pt idx="2">
                  <c:v>0.47499999999999998</c:v>
                </c:pt>
                <c:pt idx="3">
                  <c:v>0.47499999999999998</c:v>
                </c:pt>
                <c:pt idx="4">
                  <c:v>0.27500000000000002</c:v>
                </c:pt>
                <c:pt idx="5">
                  <c:v>0.27500000000000002</c:v>
                </c:pt>
                <c:pt idx="6">
                  <c:v>0.25</c:v>
                </c:pt>
                <c:pt idx="7">
                  <c:v>0.17499999999999999</c:v>
                </c:pt>
                <c:pt idx="8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85088"/>
        <c:axId val="107414656"/>
      </c:barChart>
      <c:catAx>
        <c:axId val="128585088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107414656"/>
        <c:crosses val="autoZero"/>
        <c:auto val="1"/>
        <c:lblAlgn val="ctr"/>
        <c:lblOffset val="100"/>
        <c:noMultiLvlLbl val="0"/>
      </c:catAx>
      <c:valAx>
        <c:axId val="107414656"/>
        <c:scaling>
          <c:orientation val="minMax"/>
          <c:max val="1"/>
        </c:scaling>
        <c:delete val="1"/>
        <c:axPos val="t"/>
        <c:majorGridlines>
          <c:spPr>
            <a:ln>
              <a:solidFill>
                <a:schemeClr val="accent1"/>
              </a:solidFill>
              <a:prstDash val="dash"/>
            </a:ln>
          </c:spPr>
        </c:majorGridlines>
        <c:numFmt formatCode="###0.0%" sourceLinked="1"/>
        <c:majorTickMark val="none"/>
        <c:minorTickMark val="none"/>
        <c:tickLblPos val="nextTo"/>
        <c:crossAx val="128585088"/>
        <c:crosses val="autoZero"/>
        <c:crossBetween val="between"/>
        <c:majorUnit val="0.25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Любовь Геннадиевна</dc:creator>
  <cp:lastModifiedBy>Глухова Мария Николаевна</cp:lastModifiedBy>
  <cp:revision>3</cp:revision>
  <dcterms:created xsi:type="dcterms:W3CDTF">2016-09-26T13:32:00Z</dcterms:created>
  <dcterms:modified xsi:type="dcterms:W3CDTF">2016-09-26T13:35:00Z</dcterms:modified>
</cp:coreProperties>
</file>