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2" w:rsidRPr="003A0713" w:rsidRDefault="007F6802" w:rsidP="00081F93">
      <w:pPr>
        <w:spacing w:line="240" w:lineRule="auto"/>
        <w:jc w:val="center"/>
        <w:rPr>
          <w:b/>
          <w:szCs w:val="28"/>
        </w:rPr>
      </w:pPr>
      <w:r w:rsidRPr="003A0713">
        <w:rPr>
          <w:b/>
          <w:szCs w:val="28"/>
        </w:rPr>
        <w:t>П</w:t>
      </w:r>
      <w:r>
        <w:rPr>
          <w:b/>
          <w:szCs w:val="28"/>
        </w:rPr>
        <w:t>оступившие п</w:t>
      </w:r>
      <w:r w:rsidRPr="003A0713">
        <w:rPr>
          <w:b/>
          <w:szCs w:val="28"/>
        </w:rPr>
        <w:t>редложения и замечания по проекту Основных направлений налоговой политики Российской Федерации на 2016 год и на плановый период 2017 и 2018 годов</w:t>
      </w:r>
    </w:p>
    <w:p w:rsidR="007F6802" w:rsidRDefault="007F6802" w:rsidP="00081F93">
      <w:pPr>
        <w:spacing w:line="240" w:lineRule="auto"/>
        <w:ind w:firstLine="708"/>
        <w:jc w:val="both"/>
        <w:rPr>
          <w:szCs w:val="28"/>
        </w:rPr>
      </w:pPr>
    </w:p>
    <w:p w:rsidR="007F6802" w:rsidRDefault="007F6802" w:rsidP="00081F93">
      <w:pPr>
        <w:spacing w:line="240" w:lineRule="auto"/>
        <w:ind w:firstLine="708"/>
        <w:jc w:val="both"/>
        <w:rPr>
          <w:szCs w:val="28"/>
        </w:rPr>
      </w:pPr>
      <w:r w:rsidRPr="00BE74DB">
        <w:rPr>
          <w:szCs w:val="28"/>
        </w:rPr>
        <w:t xml:space="preserve">В целом проект </w:t>
      </w:r>
      <w:r w:rsidRPr="003A0713">
        <w:rPr>
          <w:szCs w:val="28"/>
        </w:rPr>
        <w:t xml:space="preserve">Основных направлений налоговой политики Российской Федерации на 2016 год и на плановый период 2017 и 2018 годов </w:t>
      </w:r>
      <w:r>
        <w:rPr>
          <w:szCs w:val="28"/>
        </w:rPr>
        <w:t xml:space="preserve">(далее проект Основных направлений) </w:t>
      </w:r>
      <w:r w:rsidRPr="00BE74DB">
        <w:rPr>
          <w:szCs w:val="28"/>
        </w:rPr>
        <w:t xml:space="preserve">соответствует заложенному в Послании Президента </w:t>
      </w:r>
      <w:r>
        <w:rPr>
          <w:szCs w:val="28"/>
        </w:rPr>
        <w:t xml:space="preserve">Российской Федерации Федеральному Собранию Российской Федерации </w:t>
      </w:r>
      <w:r w:rsidRPr="00BE74DB">
        <w:rPr>
          <w:szCs w:val="28"/>
        </w:rPr>
        <w:t xml:space="preserve">принципу </w:t>
      </w:r>
      <w:proofErr w:type="spellStart"/>
      <w:r w:rsidRPr="00BE74DB">
        <w:rPr>
          <w:szCs w:val="28"/>
        </w:rPr>
        <w:t>неувеличения</w:t>
      </w:r>
      <w:proofErr w:type="spellEnd"/>
      <w:r w:rsidRPr="00BE74DB">
        <w:rPr>
          <w:szCs w:val="28"/>
        </w:rPr>
        <w:t xml:space="preserve"> фискальной нагрузки на бизнес.</w:t>
      </w:r>
      <w:r>
        <w:rPr>
          <w:szCs w:val="28"/>
        </w:rPr>
        <w:t xml:space="preserve"> </w:t>
      </w:r>
    </w:p>
    <w:p w:rsidR="007F6802" w:rsidRDefault="007F6802" w:rsidP="00081F9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Проект содержит ряд </w:t>
      </w:r>
      <w:r w:rsidRPr="00BE74DB">
        <w:rPr>
          <w:szCs w:val="28"/>
        </w:rPr>
        <w:t xml:space="preserve">важных </w:t>
      </w:r>
      <w:r>
        <w:rPr>
          <w:szCs w:val="28"/>
        </w:rPr>
        <w:t xml:space="preserve">для предпринимательского сообщества </w:t>
      </w:r>
      <w:r w:rsidRPr="00BE74DB">
        <w:rPr>
          <w:szCs w:val="28"/>
        </w:rPr>
        <w:t xml:space="preserve">новаций, в частности, создание системы предварительного налогового разъяснения, </w:t>
      </w:r>
      <w:r>
        <w:rPr>
          <w:szCs w:val="28"/>
        </w:rPr>
        <w:t xml:space="preserve">дополнительные </w:t>
      </w:r>
      <w:r w:rsidRPr="00BE74DB">
        <w:rPr>
          <w:szCs w:val="28"/>
        </w:rPr>
        <w:t xml:space="preserve">льготы для новых производств, </w:t>
      </w:r>
      <w:r>
        <w:rPr>
          <w:szCs w:val="28"/>
        </w:rPr>
        <w:t xml:space="preserve">упрощенную схему получения </w:t>
      </w:r>
      <w:r w:rsidRPr="00BE74DB">
        <w:rPr>
          <w:szCs w:val="28"/>
        </w:rPr>
        <w:t>патент</w:t>
      </w:r>
      <w:r>
        <w:rPr>
          <w:szCs w:val="28"/>
        </w:rPr>
        <w:t xml:space="preserve">ов </w:t>
      </w:r>
      <w:proofErr w:type="spellStart"/>
      <w:r>
        <w:rPr>
          <w:szCs w:val="28"/>
        </w:rPr>
        <w:t>самозанятыми</w:t>
      </w:r>
      <w:proofErr w:type="spellEnd"/>
      <w:r w:rsidRPr="00BE74DB">
        <w:rPr>
          <w:szCs w:val="28"/>
        </w:rPr>
        <w:t>.</w:t>
      </w:r>
    </w:p>
    <w:p w:rsidR="007F6802" w:rsidRPr="00BE74DB" w:rsidRDefault="007F6802" w:rsidP="00081F9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Ряд предложений и замечаний РСПП </w:t>
      </w:r>
      <w:proofErr w:type="gramStart"/>
      <w:r>
        <w:rPr>
          <w:szCs w:val="28"/>
        </w:rPr>
        <w:t>учтена</w:t>
      </w:r>
      <w:proofErr w:type="gramEnd"/>
      <w:r>
        <w:rPr>
          <w:szCs w:val="28"/>
        </w:rPr>
        <w:t xml:space="preserve"> в обновленной редакции проекта Основных направлений.</w:t>
      </w:r>
      <w:bookmarkStart w:id="0" w:name="_GoBack"/>
      <w:bookmarkEnd w:id="0"/>
      <w:r w:rsidR="001534BD">
        <w:rPr>
          <w:szCs w:val="28"/>
        </w:rPr>
        <w:t xml:space="preserve"> </w:t>
      </w:r>
      <w:r>
        <w:rPr>
          <w:szCs w:val="28"/>
        </w:rPr>
        <w:t>Вместе с тем, есть ряд замечаний и предложений по проекту.</w:t>
      </w:r>
    </w:p>
    <w:p w:rsidR="007F6802" w:rsidRPr="00BE74DB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уточненный проект Основных направлений включен пункт 14, касающийся роли неналоговых платежей в бюджетной системе РФ и включении в расчет фискальной нагрузки отдельных неналоговых платежей. РСПП поддерживает данное решение. </w:t>
      </w:r>
      <w:proofErr w:type="gramStart"/>
      <w:r>
        <w:rPr>
          <w:szCs w:val="28"/>
        </w:rPr>
        <w:t xml:space="preserve">Вместе с тем, полагаем, что </w:t>
      </w:r>
      <w:r w:rsidRPr="00BE74DB">
        <w:rPr>
          <w:szCs w:val="28"/>
        </w:rPr>
        <w:t>необходимо дополнить проект информацией о результатах проведенной инвентаризации неналоговых платежей, а также о стратегических подходах в данной сфере, включая необходимость единообразных процедур принятия решений по неналоговым платежам (включая необходимость принятия всех решений до внесения в Государственную Думу Федерального Собрания Российской Федерации проекта закона о федеральном бюджете на соответствующую трехлетку).</w:t>
      </w:r>
      <w:proofErr w:type="gramEnd"/>
    </w:p>
    <w:p w:rsidR="007F6802" w:rsidRPr="00BE74DB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Предлагаем включить </w:t>
      </w:r>
      <w:r w:rsidRPr="00BE74DB">
        <w:rPr>
          <w:szCs w:val="28"/>
        </w:rPr>
        <w:t>отдельный раздел по гармонизации налоговых систем в рамках Евразийского экономического союза.</w:t>
      </w:r>
    </w:p>
    <w:p w:rsidR="007F6802" w:rsidRPr="00942666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9C7E1C">
        <w:rPr>
          <w:szCs w:val="28"/>
        </w:rPr>
        <w:t xml:space="preserve">Предлагаем </w:t>
      </w:r>
      <w:r>
        <w:rPr>
          <w:szCs w:val="28"/>
        </w:rPr>
        <w:t xml:space="preserve">с учетом обсуждения, состоявшегося в РСПП, </w:t>
      </w:r>
      <w:r w:rsidRPr="009C7E1C">
        <w:rPr>
          <w:szCs w:val="28"/>
        </w:rPr>
        <w:t xml:space="preserve">более подробно описать направления работы и стратегию совершенствования налогообложения в нефтегазовом </w:t>
      </w:r>
      <w:proofErr w:type="gramStart"/>
      <w:r w:rsidRPr="009C7E1C">
        <w:rPr>
          <w:szCs w:val="28"/>
        </w:rPr>
        <w:t>секторе</w:t>
      </w:r>
      <w:proofErr w:type="gramEnd"/>
      <w:r w:rsidRPr="009C7E1C">
        <w:rPr>
          <w:szCs w:val="28"/>
        </w:rPr>
        <w:t>, в том числе возможность перехода на налог на финансовый результат</w:t>
      </w:r>
      <w:r w:rsidRPr="00942666">
        <w:rPr>
          <w:szCs w:val="28"/>
        </w:rPr>
        <w:t xml:space="preserve">. В пункт </w:t>
      </w:r>
      <w:r w:rsidR="0061692A" w:rsidRPr="00942666">
        <w:rPr>
          <w:szCs w:val="28"/>
        </w:rPr>
        <w:t>6</w:t>
      </w:r>
      <w:r w:rsidRPr="00942666">
        <w:rPr>
          <w:szCs w:val="28"/>
        </w:rPr>
        <w:t xml:space="preserve"> «Налогообложение природных ресурсов» добавить новые абзацы следующего содержания:</w:t>
      </w:r>
    </w:p>
    <w:p w:rsidR="007F6802" w:rsidRDefault="007F6802" w:rsidP="00081F93">
      <w:pPr>
        <w:spacing w:line="240" w:lineRule="auto"/>
        <w:ind w:firstLine="709"/>
        <w:jc w:val="both"/>
      </w:pPr>
      <w:r w:rsidRPr="00AC4C48">
        <w:rPr>
          <w:szCs w:val="28"/>
        </w:rPr>
        <w:t xml:space="preserve">«- апробация с 2016 года системы налогообложения финансового результата (НФР) на «пилотных» проектах разработки месторождений углеводородного сырья, находящихся на разных стадиях разработки, в случае принятия соответствующего федерального закона в 2015 году либо продолжение работы в данном направлении. </w:t>
      </w:r>
      <w:proofErr w:type="gramStart"/>
      <w:r>
        <w:t>Переход нефтяной отрасли на налогообложение налогом на прибыль от реализации добытой нефти (финансового результата) позволит повысить уровень рентабельности разработки участков недр, обеспечить приток инвестиций в разработку истощенных и нетрадиционных запасов и вовлечь в разработку месторождения, не разрабатываемые в условиях действующей системы налогообложения, что, как следствие, позволит значительно увеличить объем добываемой нефти.</w:t>
      </w:r>
      <w:proofErr w:type="gramEnd"/>
    </w:p>
    <w:p w:rsidR="007F6802" w:rsidRDefault="007F6802" w:rsidP="00081F93">
      <w:pPr>
        <w:spacing w:line="240" w:lineRule="auto"/>
        <w:ind w:firstLine="709"/>
        <w:jc w:val="both"/>
      </w:pPr>
      <w:r>
        <w:lastRenderedPageBreak/>
        <w:t>По данным Генеральной схемы развития нефтяной отрасли до 2020 года:</w:t>
      </w:r>
    </w:p>
    <w:p w:rsidR="007F6802" w:rsidRDefault="007F6802" w:rsidP="00081F93">
      <w:pPr>
        <w:spacing w:line="240" w:lineRule="auto"/>
        <w:ind w:firstLine="709"/>
        <w:jc w:val="both"/>
      </w:pPr>
      <w:r>
        <w:t xml:space="preserve">- общий объем запасов АВС+С2 в Российской Федерации - 22 </w:t>
      </w:r>
      <w:proofErr w:type="gramStart"/>
      <w:r>
        <w:t>млрд</w:t>
      </w:r>
      <w:proofErr w:type="gramEnd"/>
      <w:r>
        <w:t xml:space="preserve"> т.</w:t>
      </w:r>
    </w:p>
    <w:p w:rsidR="007F6802" w:rsidRDefault="007F6802" w:rsidP="00081F93">
      <w:pPr>
        <w:spacing w:line="240" w:lineRule="auto"/>
        <w:ind w:firstLine="709"/>
        <w:jc w:val="both"/>
      </w:pPr>
      <w:r>
        <w:t xml:space="preserve">- при действующей налоговой системе экономически извлекаемыми считается только 11,3 </w:t>
      </w:r>
      <w:proofErr w:type="gramStart"/>
      <w:r>
        <w:t>млрд</w:t>
      </w:r>
      <w:proofErr w:type="gramEnd"/>
      <w:r>
        <w:t xml:space="preserve"> т.</w:t>
      </w:r>
    </w:p>
    <w:p w:rsidR="007F6802" w:rsidRDefault="007F6802" w:rsidP="00081F93">
      <w:pPr>
        <w:spacing w:line="240" w:lineRule="auto"/>
        <w:ind w:firstLine="709"/>
        <w:jc w:val="both"/>
      </w:pPr>
      <w:r>
        <w:t xml:space="preserve">- при налоговой системе на основе финансового результата может быть дополнительно добыто до 17 </w:t>
      </w:r>
      <w:proofErr w:type="gramStart"/>
      <w:r>
        <w:t>млрд</w:t>
      </w:r>
      <w:proofErr w:type="gramEnd"/>
      <w:r>
        <w:t xml:space="preserve"> т (+ 6 млрд т).</w:t>
      </w:r>
    </w:p>
    <w:p w:rsidR="007F6802" w:rsidRDefault="007F6802" w:rsidP="00081F93">
      <w:pPr>
        <w:spacing w:line="240" w:lineRule="auto"/>
        <w:ind w:firstLine="709"/>
        <w:jc w:val="both"/>
      </w:pPr>
      <w:r>
        <w:t xml:space="preserve">- около 4 - 5 </w:t>
      </w:r>
      <w:proofErr w:type="gramStart"/>
      <w:r>
        <w:t>млрд</w:t>
      </w:r>
      <w:proofErr w:type="gramEnd"/>
      <w:r>
        <w:t xml:space="preserve"> т не будет добыто при текущих ценах на нефть и уровне развития технологий.</w:t>
      </w:r>
    </w:p>
    <w:p w:rsidR="007F6802" w:rsidRDefault="007F6802" w:rsidP="00081F93">
      <w:pPr>
        <w:spacing w:line="240" w:lineRule="auto"/>
        <w:ind w:firstLine="709"/>
        <w:jc w:val="both"/>
      </w:pPr>
      <w:r>
        <w:t>По предварительным расчетам Минэнерго России, введение налога на финансовый результат в отношении даже 12 пилотных месторождений трех крупных нефтяных компаний позволит за 5 лет прирастить добычу нефти на указанных месторождениях на 50-60% по сравнению с действующим налоговым режимом.</w:t>
      </w:r>
    </w:p>
    <w:p w:rsidR="007F6802" w:rsidRDefault="007F6802" w:rsidP="00081F93">
      <w:pPr>
        <w:spacing w:line="240" w:lineRule="auto"/>
        <w:ind w:firstLine="709"/>
        <w:jc w:val="both"/>
      </w:pPr>
      <w:r>
        <w:t>Введение новой системы налогообложения нефтяной отрасли позволит не только улучшить инвестиционный климат в нефтяном секторе, но и усилить валовую налоговую отдачу.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C4C48">
        <w:rPr>
          <w:szCs w:val="28"/>
        </w:rPr>
        <w:t>- продление каникул по НДПИ при добыче нефти на участках недр, расположенных полностью или частично в Каспийском море до 31 декабря 2021 года и соответствующего увеличения льготного объема нефти до 15 млн.</w:t>
      </w:r>
      <w:r>
        <w:rPr>
          <w:szCs w:val="28"/>
        </w:rPr>
        <w:t xml:space="preserve"> </w:t>
      </w:r>
      <w:r w:rsidRPr="00AC4C48">
        <w:rPr>
          <w:szCs w:val="28"/>
        </w:rPr>
        <w:t>т в случае внесения соответствующих изменений в НК РФ в 2015 году либо продолжение работы в данном направлении;</w:t>
      </w:r>
    </w:p>
    <w:p w:rsidR="007F6802" w:rsidRDefault="007F6802" w:rsidP="00081F93">
      <w:pPr>
        <w:spacing w:line="240" w:lineRule="auto"/>
        <w:ind w:firstLine="709"/>
        <w:jc w:val="both"/>
        <w:rPr>
          <w:szCs w:val="28"/>
        </w:rPr>
      </w:pPr>
      <w:proofErr w:type="gramStart"/>
      <w:r w:rsidRPr="00AC4C48">
        <w:rPr>
          <w:szCs w:val="28"/>
        </w:rPr>
        <w:t>- проработка вопроса предоставления права на уменьшение начисленного к уплате в бюджет НДПИ на сумму затрат произведенных геологоразведочных работ в целях стимулирования разработки новых месторождений и увеличения объема проводимых геологоразведочных работ.»</w:t>
      </w:r>
      <w:proofErr w:type="gramEnd"/>
    </w:p>
    <w:p w:rsidR="007F6802" w:rsidRPr="00C10BDF" w:rsidRDefault="007F6802" w:rsidP="00081F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Аналогичные правки в части целесообразности </w:t>
      </w:r>
      <w:r w:rsidRPr="00C10BDF">
        <w:rPr>
          <w:szCs w:val="28"/>
        </w:rPr>
        <w:t>апробаци</w:t>
      </w:r>
      <w:r>
        <w:rPr>
          <w:szCs w:val="28"/>
        </w:rPr>
        <w:t>и</w:t>
      </w:r>
      <w:r w:rsidRPr="00C10BDF">
        <w:rPr>
          <w:szCs w:val="28"/>
        </w:rPr>
        <w:t xml:space="preserve"> с 2016 года системы налогообложения финансового результата (НФР) на «пилотных» проектах разработки месторождений углеводородного сырья, находящихся на разных стадиях разработки </w:t>
      </w:r>
      <w:r>
        <w:rPr>
          <w:szCs w:val="28"/>
        </w:rPr>
        <w:t xml:space="preserve">целесообразно включить в пункт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(стр. 22).</w:t>
      </w:r>
    </w:p>
    <w:p w:rsidR="007F6802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2B7C34">
        <w:rPr>
          <w:szCs w:val="28"/>
        </w:rPr>
        <w:t xml:space="preserve">Считаем целесообразным зафиксировать в проекте позицию по дальнейшему функционированию и развитию механизма консолидированной группы налогоплательщиков на период после 1 января 2016 г. В противном случае крупные российские компании будут ограничены в формировании не только долгосрочной, но и среднесрочной стратегии развития, включая создание новых производств. </w:t>
      </w:r>
    </w:p>
    <w:p w:rsidR="007F6802" w:rsidRPr="002B7C34" w:rsidRDefault="007F6802" w:rsidP="00081F93">
      <w:pPr>
        <w:spacing w:line="240" w:lineRule="auto"/>
        <w:ind w:firstLine="708"/>
        <w:jc w:val="both"/>
        <w:rPr>
          <w:szCs w:val="28"/>
        </w:rPr>
      </w:pPr>
      <w:r w:rsidRPr="002B7C34">
        <w:rPr>
          <w:szCs w:val="28"/>
        </w:rPr>
        <w:t xml:space="preserve">В частности, по первому, второму и третьему буллиту (абзацы со второго по четвертый) не ясно, что имеется </w:t>
      </w:r>
      <w:proofErr w:type="gramStart"/>
      <w:r w:rsidRPr="002B7C34">
        <w:rPr>
          <w:szCs w:val="28"/>
        </w:rPr>
        <w:t>ввиду</w:t>
      </w:r>
      <w:proofErr w:type="gramEnd"/>
      <w:r w:rsidRPr="002B7C34">
        <w:rPr>
          <w:szCs w:val="28"/>
        </w:rPr>
        <w:t xml:space="preserve">, так как в </w:t>
      </w:r>
      <w:proofErr w:type="gramStart"/>
      <w:r w:rsidRPr="002B7C34">
        <w:rPr>
          <w:szCs w:val="28"/>
        </w:rPr>
        <w:t>настоящий</w:t>
      </w:r>
      <w:proofErr w:type="gramEnd"/>
      <w:r w:rsidRPr="002B7C34">
        <w:rPr>
          <w:szCs w:val="28"/>
        </w:rPr>
        <w:t xml:space="preserve"> момент требования к участникам КГН регламентированы статьей 25.2 НК РФ, порядок внесения изменений в договор о создании КГН в случае реорганизации - статьей 25.4 НК РФ. Представляется целесообразным детально изложить предлагаемые изменения в статьи 25.2 и 25.4 НК РФ (по аналогии с 4 буллитом), так как под предлагаемыми изменениями могут подразумеваться любые изменения положений НК РФ.</w:t>
      </w:r>
    </w:p>
    <w:p w:rsidR="007F6802" w:rsidRPr="002B7C34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2B7C34">
        <w:rPr>
          <w:szCs w:val="28"/>
        </w:rPr>
        <w:t xml:space="preserve">В части совершенствования института КГН также предлагается уточнить порядок распределения налога на прибыль организаций для уплаты в бюджеты </w:t>
      </w:r>
      <w:r w:rsidRPr="002B7C34">
        <w:rPr>
          <w:szCs w:val="28"/>
        </w:rPr>
        <w:lastRenderedPageBreak/>
        <w:t>субъектов Российской Федерации по месту нахождения участников КГН и их подразделений.</w:t>
      </w:r>
    </w:p>
    <w:p w:rsidR="007F6802" w:rsidRPr="002B7C34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2B7C34">
        <w:rPr>
          <w:szCs w:val="28"/>
        </w:rPr>
        <w:t>При этом порядок распределения налога на прибыль организаций для уплаты в бюджеты субъектов Российской Федерации по месту нахождения участников КГН и подразделений установлен статьей 288 НК РФ. Указанный порядок идентичен порядку применяемому организациями, не входящими в КГН, имеющими обособленные подразделения. Принимая во внимание изложенное, требуется внести уточнения в указанный буллит о предлагаемых изменениях, в том числе в части соответствия порядку распределения налога на прибыль в КГН и у организации, не входящей в состав КГН.</w:t>
      </w:r>
    </w:p>
    <w:p w:rsidR="007F6802" w:rsidRPr="002B7C34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2B7C34">
        <w:rPr>
          <w:szCs w:val="28"/>
        </w:rPr>
        <w:t>Необходимо отметить, что в случае, если указанный порядок будет различен, представляется целесообразным в НК РФ установить положения, регламентирующие каким из порядков необходимо руководствоваться участнику КГН в части распределения налоговой базы по доходам, которые не подлежат учету при определении консолидированной налоговой базы.</w:t>
      </w:r>
    </w:p>
    <w:p w:rsidR="007F6802" w:rsidRPr="002B7C34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2B7C34">
        <w:rPr>
          <w:szCs w:val="28"/>
        </w:rPr>
        <w:t xml:space="preserve">Также рассматриваемым пунктом </w:t>
      </w:r>
      <w:r>
        <w:rPr>
          <w:szCs w:val="28"/>
        </w:rPr>
        <w:t>8</w:t>
      </w:r>
      <w:r w:rsidRPr="002B7C34">
        <w:rPr>
          <w:szCs w:val="28"/>
        </w:rPr>
        <w:t xml:space="preserve"> предлагается уточнить процедуру перерасчета налоговых обязательств, возникших до момента создания КГН.</w:t>
      </w:r>
    </w:p>
    <w:p w:rsidR="007F6802" w:rsidRPr="002B7C34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2B7C34">
        <w:rPr>
          <w:szCs w:val="28"/>
        </w:rPr>
        <w:t xml:space="preserve">При этом в настоящее время доходы, расходы и убытки, полученные участниками КГН до вхождения в группу, не участвуют в формировании консолидированной налоговой базы. По указанным доходам, расходам и убыткам применяются общие правила перерасчета налоговых обязательств. Принимая во </w:t>
      </w:r>
      <w:proofErr w:type="gramStart"/>
      <w:r w:rsidRPr="002B7C34">
        <w:rPr>
          <w:szCs w:val="28"/>
        </w:rPr>
        <w:t>внимание</w:t>
      </w:r>
      <w:proofErr w:type="gramEnd"/>
      <w:r w:rsidRPr="002B7C34">
        <w:rPr>
          <w:szCs w:val="28"/>
        </w:rPr>
        <w:t xml:space="preserve"> изложенное, для оценки указанного предложения необходимо внести изменения в буллит в части детализации предлагаемых изменений НК РФ.</w:t>
      </w:r>
    </w:p>
    <w:p w:rsidR="007F6802" w:rsidRPr="002B7C34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2B7C34">
        <w:rPr>
          <w:szCs w:val="28"/>
        </w:rPr>
        <w:t>Аналогично изложенным выше предложениям представляется целесообразным внести детализацию в части предлагаемого установления порядка зачета ответственным участником КГН налога, уплаченного участниками группы за пределами Российской Федерации.</w:t>
      </w:r>
    </w:p>
    <w:p w:rsidR="007F6802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2B7C34">
        <w:rPr>
          <w:szCs w:val="28"/>
        </w:rPr>
        <w:t>Кроме того, проектом ОННП предлагается упорядочить применение участниками КГН ставки налога, установленной законами субъектов Российской Федерации для отдельных категорий налогоплательщиков. В данном случае не ясно, подразумевает ли это ограничение права у участников КГН на применение ставок, установленных законами субъектов Российской Федерации для отдельных категорий налогоплательщиков.</w:t>
      </w:r>
    </w:p>
    <w:p w:rsidR="007F6802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2B7C34">
        <w:rPr>
          <w:szCs w:val="28"/>
        </w:rPr>
        <w:t>Также рядом компаний поставлен вопрос о целесообразности снижения пороговых значений по условиям, которым должны соответствовать организации, являющиеся участниками консолидированной группы налогоплательщиков.</w:t>
      </w:r>
    </w:p>
    <w:p w:rsidR="007F6802" w:rsidRPr="002B7C34" w:rsidRDefault="007F6802" w:rsidP="00081F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уточненной редакции проекта Основных направлений предлагается рассмотреть вопрос об изменениях условий создания КГН, в том числе автоматическом включении всех организаций, в которых одна организация участвует в капитале других с долей более 90 % (а не по выбору). Данное предложение вызвало резкие возражения в ходе обсуждения в РСПП, при том, что цифра 90 % никак не обоснована, а автоматическое включение в КГН является необоснованным ограничением при принятии экономических решений в рамках холдинговых и иных аналогичных структур. </w:t>
      </w:r>
      <w:r w:rsidRPr="00942666">
        <w:rPr>
          <w:szCs w:val="28"/>
        </w:rPr>
        <w:t xml:space="preserve">Кроме того, это </w:t>
      </w:r>
      <w:r w:rsidRPr="00942666">
        <w:rPr>
          <w:szCs w:val="28"/>
        </w:rPr>
        <w:lastRenderedPageBreak/>
        <w:t>отменяет концепцию добровольности вхождения налогоплательщиков в состав КГН.</w:t>
      </w:r>
    </w:p>
    <w:p w:rsidR="007F6802" w:rsidRPr="00D800D0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D800D0">
        <w:rPr>
          <w:szCs w:val="28"/>
        </w:rPr>
        <w:t xml:space="preserve">редлагаем расширить имеющийся раздел 13 </w:t>
      </w:r>
      <w:r>
        <w:rPr>
          <w:szCs w:val="28"/>
        </w:rPr>
        <w:t>«</w:t>
      </w:r>
      <w:r w:rsidRPr="00D800D0">
        <w:rPr>
          <w:szCs w:val="28"/>
        </w:rPr>
        <w:t>Страховые взносы на обязательное пенсионное, медицинское и социальное страхование</w:t>
      </w:r>
      <w:r>
        <w:rPr>
          <w:szCs w:val="28"/>
        </w:rPr>
        <w:t>» оценкой уровня нагрузки на бизнес и прогнозами ее изменения, в том числе по отдельным секторам.</w:t>
      </w:r>
    </w:p>
    <w:p w:rsidR="007F6802" w:rsidRPr="00942666" w:rsidDel="00C10BDF" w:rsidRDefault="007F6802" w:rsidP="00942666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942666">
        <w:rPr>
          <w:szCs w:val="28"/>
        </w:rPr>
        <w:t xml:space="preserve">Уточненная редакция проекта Основных направлений, предусматривающая увеличение пороговых значений по внутрироссийским сделкам до 2-3 млрд. рублей, как и предложение о введении суммового или иного критерия существенности сделки для целей контроли и корректировке условий, при соблюдении которых сделки не признаются контролируемым, является позитивным решением. </w:t>
      </w:r>
    </w:p>
    <w:p w:rsidR="007F6802" w:rsidRPr="009B6E16" w:rsidRDefault="007F6802" w:rsidP="00081F93">
      <w:pPr>
        <w:pStyle w:val="a3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Вместе с тем, многие компании-члены РСПП предлагают рассмотреть возможность </w:t>
      </w:r>
      <w:r w:rsidRPr="009B6E16">
        <w:rPr>
          <w:szCs w:val="28"/>
        </w:rPr>
        <w:t>отмен</w:t>
      </w:r>
      <w:r>
        <w:rPr>
          <w:szCs w:val="28"/>
        </w:rPr>
        <w:t>ы</w:t>
      </w:r>
      <w:r w:rsidRPr="009B6E16">
        <w:rPr>
          <w:szCs w:val="28"/>
        </w:rPr>
        <w:t xml:space="preserve"> контрол</w:t>
      </w:r>
      <w:r>
        <w:rPr>
          <w:szCs w:val="28"/>
        </w:rPr>
        <w:t>я</w:t>
      </w:r>
      <w:r w:rsidRPr="009B6E16">
        <w:rPr>
          <w:szCs w:val="28"/>
        </w:rPr>
        <w:t xml:space="preserve"> ТЦО в </w:t>
      </w:r>
      <w:proofErr w:type="gramStart"/>
      <w:r w:rsidRPr="009B6E16">
        <w:rPr>
          <w:szCs w:val="28"/>
        </w:rPr>
        <w:t>отношении</w:t>
      </w:r>
      <w:proofErr w:type="gramEnd"/>
      <w:r w:rsidRPr="009B6E16">
        <w:rPr>
          <w:szCs w:val="28"/>
        </w:rPr>
        <w:t xml:space="preserve"> сделок, осуществленных между двумя российскими юридическими лицами (не применяющими специальных режимов налогообложения). При этом, применение цен с учетом принципов ТЦО между двумя российскими </w:t>
      </w:r>
      <w:proofErr w:type="spellStart"/>
      <w:r w:rsidRPr="009B6E16">
        <w:rPr>
          <w:szCs w:val="28"/>
        </w:rPr>
        <w:t>юр</w:t>
      </w:r>
      <w:proofErr w:type="gramStart"/>
      <w:r w:rsidRPr="009B6E16">
        <w:rPr>
          <w:szCs w:val="28"/>
        </w:rPr>
        <w:t>.л</w:t>
      </w:r>
      <w:proofErr w:type="gramEnd"/>
      <w:r w:rsidRPr="009B6E16">
        <w:rPr>
          <w:szCs w:val="28"/>
        </w:rPr>
        <w:t>ицами</w:t>
      </w:r>
      <w:proofErr w:type="spellEnd"/>
      <w:r w:rsidRPr="009B6E16">
        <w:rPr>
          <w:szCs w:val="28"/>
        </w:rPr>
        <w:t xml:space="preserve"> ведет лишь к перераспределению доходов между бюджетами РФ, но не приводит к дополнительным налоговым поступлениям в бюджетную систему РФ. </w:t>
      </w:r>
      <w:r>
        <w:rPr>
          <w:szCs w:val="28"/>
        </w:rPr>
        <w:t>В</w:t>
      </w:r>
      <w:r w:rsidRPr="009B6E16">
        <w:rPr>
          <w:szCs w:val="28"/>
        </w:rPr>
        <w:t xml:space="preserve">месте с тем, администрирование контролируемых сделок и отчетов по ним требует существенных затрат как со стороны налогоплательщиков, так и со стороны налоговых органов. </w:t>
      </w:r>
    </w:p>
    <w:p w:rsidR="007F6802" w:rsidRDefault="007F6802" w:rsidP="00C10BDF">
      <w:pPr>
        <w:pStyle w:val="a3"/>
        <w:spacing w:line="240" w:lineRule="auto"/>
        <w:ind w:left="0" w:firstLine="709"/>
        <w:jc w:val="both"/>
        <w:rPr>
          <w:szCs w:val="28"/>
        </w:rPr>
      </w:pPr>
      <w:proofErr w:type="gramStart"/>
      <w:r w:rsidRPr="009B6E16">
        <w:rPr>
          <w:szCs w:val="28"/>
        </w:rPr>
        <w:t>Предлагается установить единый порог для признания контролируемыми существующих типов трансграничных контролируемых сделок вне зависимости от оснований контроля (товары мировой биржевой торговли, сделки с оффшорными, сделки с взаимозависимыми лицами).</w:t>
      </w:r>
      <w:proofErr w:type="gramEnd"/>
      <w:r w:rsidRPr="009B6E16">
        <w:rPr>
          <w:szCs w:val="28"/>
        </w:rPr>
        <w:t xml:space="preserve"> В настоящее время контроль за трансграничными сделками </w:t>
      </w:r>
      <w:proofErr w:type="gramStart"/>
      <w:r w:rsidRPr="009B6E16">
        <w:rPr>
          <w:szCs w:val="28"/>
        </w:rPr>
        <w:t>со</w:t>
      </w:r>
      <w:proofErr w:type="gramEnd"/>
      <w:r w:rsidRPr="009B6E16">
        <w:rPr>
          <w:szCs w:val="28"/>
        </w:rPr>
        <w:t xml:space="preserve"> взаимозависимыми лицами начинается с 0 рублей, что накладывает существенную административную нагрузку на налогоплательщиков с </w:t>
      </w:r>
      <w:proofErr w:type="spellStart"/>
      <w:r w:rsidRPr="009B6E16">
        <w:rPr>
          <w:szCs w:val="28"/>
        </w:rPr>
        <w:t>т.з</w:t>
      </w:r>
      <w:proofErr w:type="spellEnd"/>
      <w:r w:rsidRPr="009B6E16">
        <w:rPr>
          <w:szCs w:val="28"/>
        </w:rPr>
        <w:t xml:space="preserve">. подготовки обосновывающей документации и формирования внутренних процедур контроля. Вместе с тем, ввиду несущественности сумм таких сделок (до 60 </w:t>
      </w:r>
      <w:proofErr w:type="spellStart"/>
      <w:r w:rsidRPr="009B6E16">
        <w:rPr>
          <w:szCs w:val="28"/>
        </w:rPr>
        <w:t>млн</w:t>
      </w:r>
      <w:proofErr w:type="gramStart"/>
      <w:r w:rsidRPr="009B6E16">
        <w:rPr>
          <w:szCs w:val="28"/>
        </w:rPr>
        <w:t>.р</w:t>
      </w:r>
      <w:proofErr w:type="gramEnd"/>
      <w:r w:rsidRPr="009B6E16">
        <w:rPr>
          <w:szCs w:val="28"/>
        </w:rPr>
        <w:t>уб</w:t>
      </w:r>
      <w:proofErr w:type="spellEnd"/>
      <w:r w:rsidRPr="009B6E16">
        <w:rPr>
          <w:szCs w:val="28"/>
        </w:rPr>
        <w:t>.) потенциальные риски для бюджета также не будут значительными, однако предлагаемая мера позволит обеспечить снижение нагрузки на федеральный орган исполнительной власти, уполномоченный по контролю и надзору в области налогов и сборов.</w:t>
      </w:r>
    </w:p>
    <w:p w:rsidR="007F6802" w:rsidRPr="009B6E16" w:rsidRDefault="007F6802" w:rsidP="00081F9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Ряд компаний предлагает рассмотреть возможность о</w:t>
      </w:r>
      <w:r w:rsidRPr="009B6E16">
        <w:rPr>
          <w:szCs w:val="28"/>
        </w:rPr>
        <w:t>тмен</w:t>
      </w:r>
      <w:r>
        <w:rPr>
          <w:szCs w:val="28"/>
        </w:rPr>
        <w:t>ы</w:t>
      </w:r>
      <w:r w:rsidRPr="009B6E16">
        <w:rPr>
          <w:szCs w:val="28"/>
        </w:rPr>
        <w:t xml:space="preserve"> контроля уровня вознаграждения в </w:t>
      </w:r>
      <w:proofErr w:type="gramStart"/>
      <w:r w:rsidRPr="009B6E16">
        <w:rPr>
          <w:szCs w:val="28"/>
        </w:rPr>
        <w:t>сделках</w:t>
      </w:r>
      <w:proofErr w:type="gramEnd"/>
      <w:r w:rsidRPr="009B6E16">
        <w:rPr>
          <w:szCs w:val="28"/>
        </w:rPr>
        <w:t xml:space="preserve"> по предоставлению займов/поручительств между российскими взаимозависимыми лицами. Предоставление внутригруппового финансирования является общепринятой практикой в рамках вертикально-интегрированных групп. В соответствии с текущими положениями законодательства о ТЦО, сделки по предоставлению займов (в случае превышения законодательно установленных суммовых порогов) являются контролируемыми и по ним должны применяться рыночные процентные ставки (с учетом дополнительных послаблений, введенных в статье 269 НК РФ для 2015-2016 гг.). При этом требования законодательства о ТЦО </w:t>
      </w:r>
      <w:proofErr w:type="gramStart"/>
      <w:r w:rsidRPr="009B6E16">
        <w:rPr>
          <w:szCs w:val="28"/>
        </w:rPr>
        <w:t xml:space="preserve">приводят к искусственному завышению расходов в дочерних обществах </w:t>
      </w:r>
      <w:r w:rsidRPr="009B6E16">
        <w:rPr>
          <w:szCs w:val="28"/>
        </w:rPr>
        <w:lastRenderedPageBreak/>
        <w:t>и не приносят</w:t>
      </w:r>
      <w:proofErr w:type="gramEnd"/>
      <w:r w:rsidRPr="009B6E16">
        <w:rPr>
          <w:szCs w:val="28"/>
        </w:rPr>
        <w:t xml:space="preserve"> дополнительных выгод для бюджетной системы РФ, накладывая при этом дополнительную административную нагрузку на налогоплательщиков.</w:t>
      </w:r>
    </w:p>
    <w:p w:rsidR="007F6802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Существуют серьезные риски в</w:t>
      </w:r>
      <w:r w:rsidRPr="000351BA">
        <w:rPr>
          <w:szCs w:val="28"/>
        </w:rPr>
        <w:t>ведени</w:t>
      </w:r>
      <w:r>
        <w:rPr>
          <w:szCs w:val="28"/>
        </w:rPr>
        <w:t>я</w:t>
      </w:r>
      <w:r w:rsidRPr="000351BA">
        <w:rPr>
          <w:szCs w:val="28"/>
        </w:rPr>
        <w:t xml:space="preserve"> в налоговое законодательство терминов «злоупотребление правом налогоплательщика», «необоснованная налоговая выгода» для добросовестных налогоплательщиков в связи с появлением возможности разной трактовки характера той или иной сделки</w:t>
      </w:r>
      <w:r>
        <w:rPr>
          <w:szCs w:val="28"/>
        </w:rPr>
        <w:t xml:space="preserve"> (пункт 7.2 и п. 10 раздела </w:t>
      </w:r>
      <w:r>
        <w:rPr>
          <w:szCs w:val="28"/>
          <w:lang w:val="en-US"/>
        </w:rPr>
        <w:t>III</w:t>
      </w:r>
      <w:r>
        <w:rPr>
          <w:szCs w:val="28"/>
        </w:rPr>
        <w:t>).</w:t>
      </w:r>
    </w:p>
    <w:p w:rsidR="007F6802" w:rsidRDefault="007F6802" w:rsidP="00081F93">
      <w:pPr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Рассматриваемым в настоящее время проектом федерального закона «О </w:t>
      </w:r>
      <w:r w:rsidRPr="00D55596">
        <w:rPr>
          <w:szCs w:val="28"/>
        </w:rPr>
        <w:t xml:space="preserve">внесении изменений в части первую и вторую Налогового </w:t>
      </w:r>
      <w:r>
        <w:rPr>
          <w:szCs w:val="28"/>
        </w:rPr>
        <w:t xml:space="preserve">кодекса Российской Федерации» (законопроект </w:t>
      </w:r>
      <w:r w:rsidRPr="005C00AC">
        <w:rPr>
          <w:szCs w:val="28"/>
        </w:rPr>
        <w:t>№ 529775-6</w:t>
      </w:r>
      <w:r>
        <w:rPr>
          <w:szCs w:val="28"/>
        </w:rPr>
        <w:t xml:space="preserve">) </w:t>
      </w:r>
      <w:r w:rsidRPr="00D55596">
        <w:rPr>
          <w:szCs w:val="28"/>
        </w:rPr>
        <w:t>предлагается при определении налоговой базы и исчислении сумм налогов, а также при реализации налогоплательщиком права на зачет (возврат) сумм налога, в том числе излишне уплаченного, не учитывать в целях налогообложения факты хозяйственной жизни, основной целью учета которых является неуплата</w:t>
      </w:r>
      <w:proofErr w:type="gramEnd"/>
      <w:r w:rsidRPr="00D55596">
        <w:rPr>
          <w:szCs w:val="28"/>
        </w:rPr>
        <w:t xml:space="preserve"> или неполная уплата и (или) зачет (возврат) сумм налога. При этом отсутствует понимание, каким образом компания может подтвердить, что основной (даже не единственной) целью сделки не является неуплата/неполная уплата налогов. </w:t>
      </w:r>
      <w:r>
        <w:rPr>
          <w:szCs w:val="28"/>
        </w:rPr>
        <w:t xml:space="preserve">Следует </w:t>
      </w:r>
      <w:proofErr w:type="gramStart"/>
      <w:r>
        <w:rPr>
          <w:szCs w:val="28"/>
        </w:rPr>
        <w:t>отметить</w:t>
      </w:r>
      <w:proofErr w:type="gramEnd"/>
      <w:r>
        <w:rPr>
          <w:szCs w:val="28"/>
        </w:rPr>
        <w:t xml:space="preserve"> что при разработке данного Законопроекта, по всей видимости, не проводился глубокий анализ и обсуждение</w:t>
      </w:r>
      <w:r w:rsidRPr="00AA5E71">
        <w:rPr>
          <w:szCs w:val="28"/>
        </w:rPr>
        <w:t xml:space="preserve"> судебной практики (включая Постановление Пленума ВАС РФ № 53 от 12.10.2006 г.), а также наилучших зарубежных практик (известные как </w:t>
      </w:r>
      <w:r w:rsidRPr="00AA5E71">
        <w:rPr>
          <w:szCs w:val="28"/>
          <w:lang w:val="en-US"/>
        </w:rPr>
        <w:t>GAAR</w:t>
      </w:r>
      <w:r w:rsidRPr="00AA5E71">
        <w:rPr>
          <w:szCs w:val="28"/>
        </w:rPr>
        <w:t xml:space="preserve"> – </w:t>
      </w:r>
      <w:r w:rsidRPr="00AA5E71">
        <w:rPr>
          <w:szCs w:val="28"/>
          <w:lang w:val="en-US"/>
        </w:rPr>
        <w:t>General</w:t>
      </w:r>
      <w:r w:rsidRPr="00AA5E71">
        <w:rPr>
          <w:szCs w:val="28"/>
        </w:rPr>
        <w:t xml:space="preserve"> </w:t>
      </w:r>
      <w:r w:rsidRPr="00AA5E71">
        <w:rPr>
          <w:szCs w:val="28"/>
          <w:lang w:val="en-US"/>
        </w:rPr>
        <w:t>anti</w:t>
      </w:r>
      <w:r w:rsidRPr="00AA5E71">
        <w:rPr>
          <w:szCs w:val="28"/>
        </w:rPr>
        <w:t>-</w:t>
      </w:r>
      <w:r w:rsidRPr="00AA5E71">
        <w:rPr>
          <w:szCs w:val="28"/>
          <w:lang w:val="en-US"/>
        </w:rPr>
        <w:t>avoidance</w:t>
      </w:r>
      <w:r w:rsidRPr="00AA5E71">
        <w:rPr>
          <w:szCs w:val="28"/>
        </w:rPr>
        <w:t xml:space="preserve"> </w:t>
      </w:r>
      <w:r w:rsidRPr="00AA5E71">
        <w:rPr>
          <w:szCs w:val="28"/>
          <w:lang w:val="en-US"/>
        </w:rPr>
        <w:t>rules</w:t>
      </w:r>
      <w:r w:rsidRPr="00AA5E71">
        <w:rPr>
          <w:szCs w:val="28"/>
        </w:rPr>
        <w:t>).</w:t>
      </w:r>
      <w:r>
        <w:rPr>
          <w:szCs w:val="28"/>
        </w:rPr>
        <w:t xml:space="preserve"> В этой связи вопрос: планируется ли Минфином разработка своей версии Законопроекта в соответствии с пунктом 11 ОННП.</w:t>
      </w:r>
    </w:p>
    <w:p w:rsidR="007F6802" w:rsidRPr="00D55596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D55596">
        <w:rPr>
          <w:szCs w:val="28"/>
        </w:rPr>
        <w:t>Что касается права на зачет сумм налога, прежде всего НДС, внесение каких-либо корректировок не целесообразно до подведения первых итогов перехода на электронное декларирование по НДС.</w:t>
      </w:r>
    </w:p>
    <w:p w:rsidR="007F6802" w:rsidRDefault="007F6802" w:rsidP="00081F93">
      <w:pPr>
        <w:spacing w:line="240" w:lineRule="auto"/>
        <w:ind w:firstLine="708"/>
        <w:jc w:val="both"/>
        <w:rPr>
          <w:szCs w:val="28"/>
        </w:rPr>
      </w:pPr>
      <w:r w:rsidRPr="00D55596">
        <w:rPr>
          <w:szCs w:val="28"/>
        </w:rPr>
        <w:t>Возражения вызывает фактическая необходимость проведения компаниями графологической экспертизы подписей на счете-фактуре, поскольку законопроектом предусмотрено, что «Счет-фактура, подписанный неуполномоченным либо неустановленным лицом, не может являться основанием для принятия к вычету предъявленных покупателю продавцом сумм налога</w:t>
      </w:r>
      <w:proofErr w:type="gramStart"/>
      <w:r w:rsidRPr="00D55596">
        <w:rPr>
          <w:szCs w:val="28"/>
        </w:rPr>
        <w:t>.».</w:t>
      </w:r>
      <w:proofErr w:type="gramEnd"/>
    </w:p>
    <w:p w:rsidR="007F6802" w:rsidRPr="00D55596" w:rsidRDefault="007F6802" w:rsidP="00081F9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Предлагаемое в проекте Основных направлений расширение перечня информации, не относящейся к налоговой тайне, не позволяет решить проблему растущих рисков добросовестных налогоплательщиков.</w:t>
      </w:r>
    </w:p>
    <w:p w:rsidR="007F6802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рамках </w:t>
      </w:r>
      <w:r w:rsidRPr="00587587">
        <w:rPr>
          <w:szCs w:val="28"/>
        </w:rPr>
        <w:t>заседани</w:t>
      </w:r>
      <w:r>
        <w:rPr>
          <w:szCs w:val="28"/>
        </w:rPr>
        <w:t>я</w:t>
      </w:r>
      <w:r w:rsidRPr="00587587">
        <w:rPr>
          <w:szCs w:val="28"/>
        </w:rPr>
        <w:t xml:space="preserve"> Государственного совета Российской Федерации по вопросу «О мерах по развитию малого и среднего предпринимательства в Российской Федерации»</w:t>
      </w:r>
      <w:r>
        <w:rPr>
          <w:szCs w:val="28"/>
        </w:rPr>
        <w:t xml:space="preserve"> обсуждался ряд важных для предпринимательского сообщества вопросов</w:t>
      </w:r>
      <w:r w:rsidRPr="00587587">
        <w:rPr>
          <w:szCs w:val="28"/>
        </w:rPr>
        <w:t xml:space="preserve">. </w:t>
      </w:r>
      <w:proofErr w:type="gramStart"/>
      <w:r w:rsidRPr="00587587">
        <w:rPr>
          <w:szCs w:val="28"/>
        </w:rPr>
        <w:t>Поскольку в перечень поручений по итогам Госсовета</w:t>
      </w:r>
      <w:r>
        <w:rPr>
          <w:szCs w:val="28"/>
        </w:rPr>
        <w:t xml:space="preserve"> вошли такие пункты, как </w:t>
      </w:r>
      <w:r w:rsidRPr="005B5830">
        <w:rPr>
          <w:szCs w:val="28"/>
        </w:rPr>
        <w:t>повышени</w:t>
      </w:r>
      <w:r>
        <w:rPr>
          <w:szCs w:val="28"/>
        </w:rPr>
        <w:t>е</w:t>
      </w:r>
      <w:r w:rsidRPr="005B5830">
        <w:rPr>
          <w:szCs w:val="28"/>
        </w:rPr>
        <w:t xml:space="preserve"> размера получаемого </w:t>
      </w:r>
      <w:proofErr w:type="spellStart"/>
      <w:r w:rsidRPr="005B5830">
        <w:rPr>
          <w:szCs w:val="28"/>
        </w:rPr>
        <w:t>микропредприятиями</w:t>
      </w:r>
      <w:proofErr w:type="spellEnd"/>
      <w:r w:rsidRPr="005B5830">
        <w:rPr>
          <w:szCs w:val="28"/>
        </w:rPr>
        <w:t xml:space="preserve"> дохода, по достижении которого налогоплательщик утрачивает право на применение специальных налоговых режимов</w:t>
      </w:r>
      <w:r>
        <w:rPr>
          <w:szCs w:val="28"/>
        </w:rPr>
        <w:t xml:space="preserve"> и </w:t>
      </w:r>
      <w:r w:rsidRPr="005B5830">
        <w:rPr>
          <w:szCs w:val="28"/>
        </w:rPr>
        <w:t>меры по недопущению резкого роста налоговой нагрузки на предприятия в связи с исчислением налога на имущество организаций на основе кадастровой стоимости в отношении отдель</w:t>
      </w:r>
      <w:r>
        <w:rPr>
          <w:szCs w:val="28"/>
        </w:rPr>
        <w:t xml:space="preserve">ных видов недвижимого </w:t>
      </w:r>
      <w:r>
        <w:rPr>
          <w:szCs w:val="28"/>
        </w:rPr>
        <w:lastRenderedPageBreak/>
        <w:t>имущества</w:t>
      </w:r>
      <w:r w:rsidRPr="00587587">
        <w:rPr>
          <w:szCs w:val="28"/>
        </w:rPr>
        <w:t>, их необходимо включить в Основные</w:t>
      </w:r>
      <w:proofErr w:type="gramEnd"/>
      <w:r w:rsidRPr="00587587">
        <w:rPr>
          <w:szCs w:val="28"/>
        </w:rPr>
        <w:t xml:space="preserve"> направления</w:t>
      </w:r>
      <w:r>
        <w:rPr>
          <w:szCs w:val="28"/>
        </w:rPr>
        <w:t xml:space="preserve"> (пункт 2.3 раздела </w:t>
      </w:r>
      <w:r>
        <w:rPr>
          <w:szCs w:val="28"/>
          <w:lang w:val="en-US"/>
        </w:rPr>
        <w:t>III</w:t>
      </w:r>
      <w:r>
        <w:rPr>
          <w:szCs w:val="28"/>
        </w:rPr>
        <w:t>)</w:t>
      </w:r>
      <w:r w:rsidRPr="00587587">
        <w:rPr>
          <w:szCs w:val="28"/>
        </w:rPr>
        <w:t>.</w:t>
      </w:r>
    </w:p>
    <w:p w:rsidR="007F6802" w:rsidRPr="00170B6C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145015">
        <w:rPr>
          <w:szCs w:val="28"/>
        </w:rPr>
        <w:t>В разделе «Основные меры в области налоговой политики, планируемые к реализации в 2016 году и пла</w:t>
      </w:r>
      <w:r>
        <w:rPr>
          <w:szCs w:val="28"/>
        </w:rPr>
        <w:t>новом периоде 2017 и 2018 годов</w:t>
      </w:r>
      <w:r w:rsidRPr="00145015">
        <w:rPr>
          <w:szCs w:val="28"/>
        </w:rPr>
        <w:t xml:space="preserve">» </w:t>
      </w:r>
      <w:r>
        <w:rPr>
          <w:szCs w:val="28"/>
        </w:rPr>
        <w:t>в пункте 6 предусмотрена «</w:t>
      </w:r>
      <w:r w:rsidRPr="00145015">
        <w:rPr>
          <w:szCs w:val="28"/>
        </w:rPr>
        <w:t>проработк</w:t>
      </w:r>
      <w:r>
        <w:rPr>
          <w:szCs w:val="28"/>
        </w:rPr>
        <w:t>а</w:t>
      </w:r>
      <w:r w:rsidRPr="00145015">
        <w:rPr>
          <w:szCs w:val="28"/>
        </w:rPr>
        <w:t xml:space="preserve"> возможности определения объектом налогообложения НДПИ при добыче руд черных, цветных, драгоценных и радиоактивных металлов химически чистого металла, содержащегося в добытой руде или в конечной продукции разработки соответствующего месторождения полезных ископаемых». </w:t>
      </w:r>
      <w:proofErr w:type="gramEnd"/>
    </w:p>
    <w:p w:rsidR="007F6802" w:rsidRDefault="007F6802" w:rsidP="00081F9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Обращаем внимание, что</w:t>
      </w:r>
      <w:r w:rsidR="00942666">
        <w:rPr>
          <w:szCs w:val="28"/>
        </w:rPr>
        <w:t>,</w:t>
      </w:r>
      <w:r>
        <w:rPr>
          <w:szCs w:val="28"/>
        </w:rPr>
        <w:t xml:space="preserve"> несмотря на обсуждение, состоявшееся на площадке РСПП 13 мая 2015 г, на котором было отмечено, что речь идет исключительно о драгоценных металлах, в проекте Основных направлений по-прежнему упоминаются руды черных и цветных металлов. В предложенном виде изменение однозначно приведет к увеличению налоговой нагрузки </w:t>
      </w:r>
      <w:proofErr w:type="spellStart"/>
      <w:r>
        <w:rPr>
          <w:szCs w:val="28"/>
        </w:rPr>
        <w:t>недропользователей</w:t>
      </w:r>
      <w:proofErr w:type="spellEnd"/>
      <w:r>
        <w:rPr>
          <w:szCs w:val="28"/>
        </w:rPr>
        <w:t>.</w:t>
      </w:r>
    </w:p>
    <w:p w:rsidR="007F6802" w:rsidRDefault="007F6802" w:rsidP="00081F9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К примеру, п</w:t>
      </w:r>
      <w:r w:rsidRPr="002B7C34">
        <w:rPr>
          <w:szCs w:val="28"/>
        </w:rPr>
        <w:t xml:space="preserve">оскольку налогообложение </w:t>
      </w:r>
      <w:proofErr w:type="gramStart"/>
      <w:r w:rsidRPr="002B7C34">
        <w:rPr>
          <w:szCs w:val="28"/>
        </w:rPr>
        <w:t>будет</w:t>
      </w:r>
      <w:proofErr w:type="gramEnd"/>
      <w:r w:rsidRPr="002B7C34">
        <w:rPr>
          <w:szCs w:val="28"/>
        </w:rPr>
        <w:t xml:space="preserve"> распространяется на все без исключения попутные компоненты независимо от того, поставлены ли такие компоненты на государственный баланс, а также от того, используются/реализуются ли такие компоненты налогоплательщиком, есть риск ухудшения положения налогоплательщиков</w:t>
      </w:r>
      <w:r>
        <w:rPr>
          <w:szCs w:val="28"/>
        </w:rPr>
        <w:t>: в</w:t>
      </w:r>
      <w:r w:rsidRPr="002B7C34">
        <w:rPr>
          <w:szCs w:val="28"/>
        </w:rPr>
        <w:t>озникнет обязанност</w:t>
      </w:r>
      <w:r>
        <w:rPr>
          <w:szCs w:val="28"/>
        </w:rPr>
        <w:t>ь</w:t>
      </w:r>
      <w:r w:rsidRPr="002B7C34">
        <w:rPr>
          <w:szCs w:val="28"/>
        </w:rPr>
        <w:t xml:space="preserve"> платить налог с попутных компонентов, в отношении которых налогоплательщики не получат (и не рассчитывают получать) выручку. </w:t>
      </w:r>
    </w:p>
    <w:p w:rsidR="007F6802" w:rsidRDefault="007F6802" w:rsidP="00081F9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Отсутствуют пояснения в отношении механизма определения цены «химически чистого металла», предполагаемой ставки, а также администрирования измененного подхода.</w:t>
      </w:r>
    </w:p>
    <w:p w:rsidR="007F6802" w:rsidRDefault="007F6802" w:rsidP="00081F9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Необходимо учесть, что химически чистые металлы являются продукцией перерабатывающей (металлургической) промышленности, включающей многостадийный технологический процесс, что обуславливает широкую товарную номенклатуру с соответствующим разнообразием цен. С момента передачи руды до продажи чистого химического металла, с учетом транспортного плеча, может пройти длительный период, от 2 до 6 месяцев в отношении цветных и драгоценных металлов. В условиях высокой волатильности цен на металлы может возникнуть ситуация, когда НДПИ будет рассчитываться по одной цене на металлы, а сами металлы через определенное время будут реализовываться по другой цене. </w:t>
      </w:r>
    </w:p>
    <w:p w:rsidR="007F6802" w:rsidRPr="00277497" w:rsidRDefault="007F6802" w:rsidP="00081F9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Учитывая вышеизложенное, предлагаем исключить в пункте 7 раздела </w:t>
      </w:r>
      <w:r>
        <w:rPr>
          <w:szCs w:val="28"/>
          <w:lang w:val="en-US"/>
        </w:rPr>
        <w:t>III</w:t>
      </w:r>
      <w:r w:rsidRPr="00D028E9">
        <w:rPr>
          <w:szCs w:val="28"/>
        </w:rPr>
        <w:t xml:space="preserve"> </w:t>
      </w:r>
      <w:r>
        <w:rPr>
          <w:szCs w:val="28"/>
        </w:rPr>
        <w:t>абзац, предусматривающий изменение объекта налогообложения при добыче руд черных, цветных и драгоценных металлов.</w:t>
      </w:r>
    </w:p>
    <w:p w:rsidR="007F6802" w:rsidRPr="00D31A1A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D31A1A">
        <w:rPr>
          <w:szCs w:val="28"/>
        </w:rPr>
        <w:t xml:space="preserve">В </w:t>
      </w:r>
      <w:proofErr w:type="gramStart"/>
      <w:r w:rsidRPr="00D31A1A">
        <w:rPr>
          <w:szCs w:val="28"/>
        </w:rPr>
        <w:t>отношении</w:t>
      </w:r>
      <w:proofErr w:type="gramEnd"/>
      <w:r w:rsidRPr="00D31A1A">
        <w:rPr>
          <w:szCs w:val="28"/>
        </w:rPr>
        <w:t xml:space="preserve"> </w:t>
      </w:r>
      <w:r>
        <w:rPr>
          <w:szCs w:val="28"/>
        </w:rPr>
        <w:t>л</w:t>
      </w:r>
      <w:r w:rsidRPr="00D31A1A">
        <w:rPr>
          <w:szCs w:val="28"/>
        </w:rPr>
        <w:t>ьгот по налогу на прибыль организаций для новых производств на своей территории («</w:t>
      </w:r>
      <w:proofErr w:type="spellStart"/>
      <w:r w:rsidRPr="00D31A1A">
        <w:rPr>
          <w:szCs w:val="28"/>
        </w:rPr>
        <w:t>гринфилды</w:t>
      </w:r>
      <w:proofErr w:type="spellEnd"/>
      <w:r w:rsidRPr="00D31A1A">
        <w:rPr>
          <w:szCs w:val="28"/>
        </w:rPr>
        <w:t xml:space="preserve">») </w:t>
      </w:r>
      <w:r>
        <w:rPr>
          <w:szCs w:val="28"/>
        </w:rPr>
        <w:t>предлагается: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рассмотреть во</w:t>
      </w:r>
      <w:r w:rsidRPr="00AC4C48">
        <w:rPr>
          <w:szCs w:val="28"/>
        </w:rPr>
        <w:t xml:space="preserve">зможность осуществления переработки сырья за пределами территории </w:t>
      </w:r>
      <w:r>
        <w:rPr>
          <w:szCs w:val="28"/>
        </w:rPr>
        <w:t>региональных инвестиционных проектов (РИП)</w:t>
      </w:r>
      <w:r w:rsidRPr="00AC4C48">
        <w:rPr>
          <w:szCs w:val="28"/>
        </w:rPr>
        <w:t xml:space="preserve">; 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рассмотреть во</w:t>
      </w:r>
      <w:r w:rsidRPr="00AC4C48">
        <w:rPr>
          <w:szCs w:val="28"/>
        </w:rPr>
        <w:t>зможность распространения РИП на «</w:t>
      </w:r>
      <w:proofErr w:type="spellStart"/>
      <w:r w:rsidRPr="00AC4C48">
        <w:rPr>
          <w:szCs w:val="28"/>
        </w:rPr>
        <w:t>браунфилды</w:t>
      </w:r>
      <w:proofErr w:type="spellEnd"/>
      <w:r w:rsidRPr="00AC4C48">
        <w:rPr>
          <w:szCs w:val="28"/>
        </w:rPr>
        <w:t xml:space="preserve">» (расширение или модернизация мощностей действующего производства); 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у</w:t>
      </w:r>
      <w:r w:rsidRPr="00AC4C48">
        <w:rPr>
          <w:szCs w:val="28"/>
        </w:rPr>
        <w:t>велич</w:t>
      </w:r>
      <w:r>
        <w:rPr>
          <w:szCs w:val="28"/>
        </w:rPr>
        <w:t>ить</w:t>
      </w:r>
      <w:r w:rsidRPr="00AC4C48">
        <w:rPr>
          <w:szCs w:val="28"/>
        </w:rPr>
        <w:t xml:space="preserve"> срок переноса убытков на будущее с 10 до 20 лет; 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у</w:t>
      </w:r>
      <w:r w:rsidRPr="00AC4C48">
        <w:rPr>
          <w:szCs w:val="28"/>
        </w:rPr>
        <w:t>точн</w:t>
      </w:r>
      <w:r>
        <w:rPr>
          <w:szCs w:val="28"/>
        </w:rPr>
        <w:t>ить</w:t>
      </w:r>
      <w:r w:rsidRPr="00AC4C48">
        <w:rPr>
          <w:szCs w:val="28"/>
        </w:rPr>
        <w:t xml:space="preserve"> требовани</w:t>
      </w:r>
      <w:r>
        <w:rPr>
          <w:szCs w:val="28"/>
        </w:rPr>
        <w:t>я</w:t>
      </w:r>
      <w:r w:rsidRPr="00AC4C48">
        <w:rPr>
          <w:szCs w:val="28"/>
        </w:rPr>
        <w:t xml:space="preserve"> о доле доходов от РИП не менее 90 % (указать 90% не от всех доходов (включая внереализационные), а только от доходов от реализации); </w:t>
      </w:r>
    </w:p>
    <w:p w:rsidR="007F6802" w:rsidRDefault="007F6802" w:rsidP="00081F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AC4C48">
        <w:rPr>
          <w:szCs w:val="28"/>
        </w:rPr>
        <w:t>мягч</w:t>
      </w:r>
      <w:r>
        <w:rPr>
          <w:szCs w:val="28"/>
        </w:rPr>
        <w:t>ить требование</w:t>
      </w:r>
      <w:r w:rsidRPr="00AC4C48">
        <w:rPr>
          <w:szCs w:val="28"/>
        </w:rPr>
        <w:t xml:space="preserve"> о доначислении и взыскании сумм полученных налоговых льгот при выявлении любых нарушений лицензии и технического проекта (оставить только существенные нарушения и не применять «обратную силу» к взыскиваемым налогам). </w:t>
      </w:r>
    </w:p>
    <w:p w:rsidR="007F6802" w:rsidRPr="00A75E7A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Предлагается </w:t>
      </w:r>
      <w:r w:rsidRPr="00A75E7A">
        <w:rPr>
          <w:szCs w:val="28"/>
        </w:rPr>
        <w:t>добав</w:t>
      </w:r>
      <w:r>
        <w:rPr>
          <w:szCs w:val="28"/>
        </w:rPr>
        <w:t>ить новые подпункты.</w:t>
      </w:r>
    </w:p>
    <w:p w:rsidR="007F6802" w:rsidRPr="00A75E7A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75E7A">
        <w:rPr>
          <w:szCs w:val="28"/>
        </w:rPr>
        <w:t>«Учет расходов на благотворительность.</w:t>
      </w:r>
    </w:p>
    <w:p w:rsidR="007F6802" w:rsidRPr="00A75E7A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75E7A">
        <w:rPr>
          <w:szCs w:val="28"/>
        </w:rPr>
        <w:t>Благотворительность является одним из важнейших рычагов управления в решении социальных проблем.</w:t>
      </w:r>
    </w:p>
    <w:p w:rsidR="007F6802" w:rsidRPr="00A75E7A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75E7A">
        <w:rPr>
          <w:szCs w:val="28"/>
        </w:rPr>
        <w:t>Закрепление в налоговом законодательстве положения об учете в целях налогообложения прибыли расходов по добровольным взносам и пожертвованиям на различные социально значимые цели будет стимулировать расширение круга лиц, осуществляющих пожертвования, что в условиях экономического кризиса становится особенно актуальным.</w:t>
      </w:r>
    </w:p>
    <w:p w:rsidR="007F6802" w:rsidRPr="00A75E7A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75E7A">
        <w:rPr>
          <w:szCs w:val="28"/>
        </w:rPr>
        <w:t>При этом для эффективного развития благотворительности в стране целесообразно развитие мотивирующей системы налогообложения, что даст возможность уменьшить свой налогооблагаемый доход на сумму сделанных пожертвований и высвободившиеся денежные средства направить на инвестиционные и благотворительные цели.</w:t>
      </w:r>
    </w:p>
    <w:p w:rsidR="007F6802" w:rsidRPr="00A75E7A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75E7A">
        <w:rPr>
          <w:szCs w:val="28"/>
        </w:rPr>
        <w:t>Возможность применения повышенного коэффициента к основной норме амортизации.</w:t>
      </w:r>
    </w:p>
    <w:p w:rsidR="007F6802" w:rsidRPr="00A75E7A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75E7A">
        <w:rPr>
          <w:szCs w:val="28"/>
        </w:rPr>
        <w:t>Предлагается вернуть в НК РФ положение о применении коэффициента ускоренной амортизации К</w:t>
      </w:r>
      <w:proofErr w:type="gramStart"/>
      <w:r w:rsidRPr="00A75E7A">
        <w:rPr>
          <w:szCs w:val="28"/>
        </w:rPr>
        <w:t>2</w:t>
      </w:r>
      <w:proofErr w:type="gramEnd"/>
      <w:r w:rsidRPr="00A75E7A">
        <w:rPr>
          <w:szCs w:val="28"/>
        </w:rPr>
        <w:t xml:space="preserve"> в отношении основных средств, используемых для работы в условиях агрессивной среды и (или) повышенной сменности.</w:t>
      </w:r>
    </w:p>
    <w:p w:rsidR="007F6802" w:rsidRPr="00A75E7A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75E7A">
        <w:rPr>
          <w:szCs w:val="28"/>
        </w:rPr>
        <w:t>Данное предложение позволит организациям в полной мере в первые налоговые периоды после ввода объектов в эксплуатацию направлять высвободившиеся собственные денежные средства, в частности, на дальнейшее развитие производства посредством модернизации и обновления основных производственных фондов.</w:t>
      </w:r>
    </w:p>
    <w:p w:rsidR="007F6802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75E7A">
        <w:rPr>
          <w:szCs w:val="28"/>
        </w:rPr>
        <w:t>Представляется также целесообразным по аналогичным основаниям установить в НК РФ возможность применения ускоренной амортизации для тех основных средств, которые эксплуатируются в условиях повышенной сменности и используются в прерывных технологических процессах, за исключением административных зданий</w:t>
      </w:r>
      <w:proofErr w:type="gramStart"/>
      <w:r w:rsidRPr="00A75E7A">
        <w:rPr>
          <w:szCs w:val="28"/>
        </w:rPr>
        <w:t>.»</w:t>
      </w:r>
      <w:proofErr w:type="gramEnd"/>
    </w:p>
    <w:p w:rsidR="007F6802" w:rsidRPr="00AC4C48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AC4C48">
        <w:rPr>
          <w:szCs w:val="28"/>
        </w:rPr>
        <w:t xml:space="preserve">В пункт </w:t>
      </w:r>
      <w:r>
        <w:rPr>
          <w:szCs w:val="28"/>
        </w:rPr>
        <w:t>5</w:t>
      </w:r>
      <w:r w:rsidRPr="00AC4C48">
        <w:rPr>
          <w:szCs w:val="28"/>
        </w:rPr>
        <w:t xml:space="preserve"> «Акцизное налогообложение» добавить новые подпункты </w:t>
      </w:r>
      <w:r>
        <w:rPr>
          <w:szCs w:val="28"/>
        </w:rPr>
        <w:t>5</w:t>
      </w:r>
      <w:r w:rsidRPr="00AC4C48">
        <w:rPr>
          <w:szCs w:val="28"/>
        </w:rPr>
        <w:t xml:space="preserve">.3. и </w:t>
      </w:r>
      <w:r>
        <w:rPr>
          <w:szCs w:val="28"/>
        </w:rPr>
        <w:t>5</w:t>
      </w:r>
      <w:r w:rsidRPr="00AC4C48">
        <w:rPr>
          <w:szCs w:val="28"/>
        </w:rPr>
        <w:t>.4.: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C4C48">
        <w:rPr>
          <w:szCs w:val="28"/>
        </w:rPr>
        <w:t>«6.1.3. Дифференциация акцизов на моторные топлива.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C4C48">
        <w:rPr>
          <w:szCs w:val="28"/>
        </w:rPr>
        <w:t>В плановом периоде предлагается дифференцировать акцизы на моторные топлива в связи с тем, что действующая дифференциация акцизов недостаточно стимулирует производство топлив высокого экологического класса.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C4C48">
        <w:rPr>
          <w:szCs w:val="28"/>
        </w:rPr>
        <w:t xml:space="preserve">В случае изменения Технического регламента в части сроков о запрете выпуска в оборот топлив ниже 5 экологического класса с 2016 года, </w:t>
      </w:r>
      <w:r w:rsidRPr="00AC4C48">
        <w:rPr>
          <w:szCs w:val="28"/>
        </w:rPr>
        <w:lastRenderedPageBreak/>
        <w:t>предлагается снизить ставки акциза на 5 класс при одновременном увеличении ставок на 4 класс на все виды моторного топлива.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proofErr w:type="gramStart"/>
      <w:r w:rsidRPr="00AC4C48">
        <w:rPr>
          <w:szCs w:val="28"/>
        </w:rPr>
        <w:t>Кроме того, предлагается либо привести ставки акцизов в соответствие с Техническим регламентом (исключив ставки на топливо класса ЕВРО-3 и ниже из НК РФ), либо в дополнение к снижению акциза на нефтепродукты, отвечающие стандарту ЕВРО-5, и увеличению акциза на топливо 4-го класса, одновременно существенно увеличить ставки акциза на нефтепродукты, не отвечающие стандарту ЕВРО-4 и выше.</w:t>
      </w:r>
      <w:proofErr w:type="gramEnd"/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C4C48">
        <w:rPr>
          <w:szCs w:val="28"/>
        </w:rPr>
        <w:t>6.1.4. Уточнение определения понятия «прямогонный бензин».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C4C48">
        <w:rPr>
          <w:szCs w:val="28"/>
        </w:rPr>
        <w:t>Федеральным законом от 24.11.2014 №366-ФЗ «О внесении изменений в часть вторую Налогового кодекса Российской Федерации и отдельные законодательные акты Российской Федерации» расширено определение понятия «прямогонный бензин».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C4C48">
        <w:rPr>
          <w:szCs w:val="28"/>
        </w:rPr>
        <w:t>В существующем определении под прямогонным бензином понимаются бензиновые фракции, за исключением продукции нефтехимии, в том числе полученные в результате химических превращений фракций нефти. В свою очередь, указанным федеральным законом дается также определение продукции нефтехимии, под которой понимается продукция, за исключением прямогонного бензина, полученная в том числе также в результате химических превращений фракций нефти.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C4C48">
        <w:rPr>
          <w:szCs w:val="28"/>
        </w:rPr>
        <w:t xml:space="preserve">В связи с этим возникает ситуация, при которой с 01.01.2015 один и тот же продукт в целях налогообложения акцизами согласно определениям, данным в НК РФ, может относиться как к прямогонному бензину, являющемуся подакцизным товаром, так и к продукции нефтехимии, не являющейся подакцизным товаром. Так, например, </w:t>
      </w:r>
      <w:proofErr w:type="spellStart"/>
      <w:r w:rsidRPr="00AC4C48">
        <w:rPr>
          <w:szCs w:val="28"/>
        </w:rPr>
        <w:t>алкилат</w:t>
      </w:r>
      <w:proofErr w:type="spellEnd"/>
      <w:r w:rsidRPr="00AC4C48">
        <w:rPr>
          <w:szCs w:val="28"/>
        </w:rPr>
        <w:t xml:space="preserve">, являясь продуктом нефтехимического синтеза, может быть </w:t>
      </w:r>
      <w:proofErr w:type="gramStart"/>
      <w:r w:rsidRPr="00AC4C48">
        <w:rPr>
          <w:szCs w:val="28"/>
        </w:rPr>
        <w:t>отнесен</w:t>
      </w:r>
      <w:proofErr w:type="gramEnd"/>
      <w:r w:rsidRPr="00AC4C48">
        <w:rPr>
          <w:szCs w:val="28"/>
        </w:rPr>
        <w:t xml:space="preserve"> и к категории прямогонного бензина.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C4C48">
        <w:rPr>
          <w:szCs w:val="28"/>
        </w:rPr>
        <w:t>Таким образом, возникает правовая неопределенность в отношении применения налогоплательщиком положений законодательства о налогах и сборах в части налогообложения акцизами продукции нефтехимии.</w:t>
      </w:r>
    </w:p>
    <w:p w:rsidR="007F6802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C4C48">
        <w:rPr>
          <w:szCs w:val="28"/>
        </w:rPr>
        <w:t xml:space="preserve">В связи с </w:t>
      </w:r>
      <w:proofErr w:type="gramStart"/>
      <w:r w:rsidRPr="00AC4C48">
        <w:rPr>
          <w:szCs w:val="28"/>
        </w:rPr>
        <w:t>изложенным</w:t>
      </w:r>
      <w:proofErr w:type="gramEnd"/>
      <w:r w:rsidRPr="00AC4C48">
        <w:rPr>
          <w:szCs w:val="28"/>
        </w:rPr>
        <w:t>, предлагается в целях налогообложения акцизами уточнить определение понятия «прямогонный бензин», исключив из него категорию продуктов, полученных в результате химических превращений, как продуктов нефтехимии.»</w:t>
      </w:r>
    </w:p>
    <w:p w:rsidR="007F6802" w:rsidRPr="00AC4C48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AC4C48">
        <w:rPr>
          <w:szCs w:val="28"/>
        </w:rPr>
        <w:t>Новый пункт. «Совершенствование налогообложения налогом на прибыль организаций в части расходов на любые виды страхования».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C4C48">
        <w:rPr>
          <w:szCs w:val="28"/>
        </w:rPr>
        <w:t>В настоящее время налоговым законодательством предусмотрено признание в целях исчисления налога на прибыль страховых взносов на добровольное страхование ответственности, если в соответствии с законодательством Российской Федерации или общепринятыми международными требованиями такое страхование является условием осуществления налогоплательщиком своей деятельности.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AC4C48">
        <w:rPr>
          <w:szCs w:val="28"/>
        </w:rPr>
        <w:t xml:space="preserve">Однако существуют виды добровольного страхования, которые не являются условием осуществления налогоплательщиком своей деятельности в соответствии с законом и, соответственно, расходы по ним не учитываются в целях исчисления налога на прибыль. При этом фактически такое страхование </w:t>
      </w:r>
      <w:r w:rsidRPr="00AC4C48">
        <w:rPr>
          <w:szCs w:val="28"/>
        </w:rPr>
        <w:lastRenderedPageBreak/>
        <w:t>необходимо в целях устойчивого функционирования и развития организации, в частности, страхование ответственности, возникающей вследствие причинения вреда природной среде.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Также</w:t>
      </w:r>
      <w:r w:rsidRPr="00AC4C48">
        <w:rPr>
          <w:szCs w:val="28"/>
        </w:rPr>
        <w:t xml:space="preserve"> существуют виды обязательного страхования расходы по которым учитываются при налогообложении прибыли, но не в размере фактических затрат, а в пределах страховых тарифов, утвержденных Правительством РФ.</w:t>
      </w:r>
      <w:r>
        <w:rPr>
          <w:szCs w:val="28"/>
        </w:rPr>
        <w:t xml:space="preserve"> </w:t>
      </w:r>
      <w:r w:rsidRPr="00AC4C48">
        <w:rPr>
          <w:szCs w:val="28"/>
        </w:rPr>
        <w:t>Таким видом страхования, в частности, является страхование ответственности за причинение вреда жизни, здоровью или имуществу других лиц в случае аварии на опасном производственном объекте. Данный вид страхования осуществляется по фиксированным тарифам, однако в случае наступления страхового случая затраты на ликвидацию последствий аварии могут значительно превысить размер утвержденных тарифов.</w:t>
      </w:r>
    </w:p>
    <w:p w:rsidR="007F6802" w:rsidRDefault="007F6802" w:rsidP="00081F93">
      <w:pPr>
        <w:spacing w:line="240" w:lineRule="auto"/>
        <w:ind w:firstLine="709"/>
        <w:jc w:val="both"/>
        <w:rPr>
          <w:szCs w:val="28"/>
        </w:rPr>
      </w:pPr>
      <w:proofErr w:type="gramStart"/>
      <w:r w:rsidRPr="00AC4C48">
        <w:rPr>
          <w:szCs w:val="28"/>
        </w:rPr>
        <w:t>В связи с изложенным, предлагается учитывать расходы в размере фактических затрат на любой вид страхования, который необходим организации для экономически эффективной страховой защиты от рисков, представляющих угрозу бизнесу, природной среде, жизни и здоровью третьих лиц и т.п., что позволит обеспечить устойчивое функционирование и развитие налогоплательщика.</w:t>
      </w:r>
      <w:proofErr w:type="gramEnd"/>
    </w:p>
    <w:p w:rsidR="007F6802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части налога на имущество предлагается рассмотреть возможность:</w:t>
      </w:r>
    </w:p>
    <w:p w:rsidR="007F6802" w:rsidRPr="00A75E1D" w:rsidRDefault="007F6802" w:rsidP="00081F93">
      <w:pPr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у</w:t>
      </w:r>
      <w:r w:rsidRPr="00A75E1D">
        <w:rPr>
          <w:szCs w:val="28"/>
        </w:rPr>
        <w:t>точнени</w:t>
      </w:r>
      <w:r>
        <w:rPr>
          <w:szCs w:val="28"/>
        </w:rPr>
        <w:t xml:space="preserve">я </w:t>
      </w:r>
      <w:r w:rsidRPr="00A75E1D">
        <w:rPr>
          <w:szCs w:val="28"/>
        </w:rPr>
        <w:t>формулировок законодательства по налогу на имущество в части налогообложения движимого имущ</w:t>
      </w:r>
      <w:r>
        <w:rPr>
          <w:szCs w:val="28"/>
        </w:rPr>
        <w:t>ества принятого к учету после 1 </w:t>
      </w:r>
      <w:r w:rsidRPr="00A75E1D">
        <w:rPr>
          <w:szCs w:val="28"/>
        </w:rPr>
        <w:t>января 2013 г. Изменения положений Главы 30 НК РФ, вступившие в силу с 1 января 2015 г</w:t>
      </w:r>
      <w:r>
        <w:rPr>
          <w:szCs w:val="28"/>
        </w:rPr>
        <w:t>.</w:t>
      </w:r>
      <w:r w:rsidRPr="00A75E1D">
        <w:rPr>
          <w:szCs w:val="28"/>
        </w:rPr>
        <w:t>, в части ограничения возможности применения льготы по налогу на имущество привели к возникновению ряда ситуаций, в которых добросовестные налогоплательщики оказались не вправе применять положенную законодательством льготу</w:t>
      </w:r>
      <w:proofErr w:type="gramEnd"/>
      <w:r w:rsidRPr="00A75E1D">
        <w:rPr>
          <w:szCs w:val="28"/>
        </w:rPr>
        <w:t>. В частности, к одной из таких ситуаций относится централизованная закупка основных сре</w:t>
      </w:r>
      <w:proofErr w:type="gramStart"/>
      <w:r w:rsidRPr="00A75E1D">
        <w:rPr>
          <w:szCs w:val="28"/>
        </w:rPr>
        <w:t>дств сп</w:t>
      </w:r>
      <w:proofErr w:type="gramEnd"/>
      <w:r w:rsidRPr="00A75E1D">
        <w:rPr>
          <w:szCs w:val="28"/>
        </w:rPr>
        <w:t xml:space="preserve">ециализированной компанией группы с последующей их реализацией в адрес иных компаний группы. Кроме того указанные изменения в некоторых случаях приводят к экономическим потерям при осуществлении реорганизации юридических лиц, на балансе которых есть основные средства, </w:t>
      </w:r>
      <w:proofErr w:type="spellStart"/>
      <w:r w:rsidRPr="00A75E1D">
        <w:rPr>
          <w:szCs w:val="28"/>
        </w:rPr>
        <w:t>льготируемые</w:t>
      </w:r>
      <w:proofErr w:type="spellEnd"/>
      <w:r w:rsidRPr="00A75E1D">
        <w:rPr>
          <w:szCs w:val="28"/>
        </w:rPr>
        <w:t xml:space="preserve"> в соответствии с нормой, действующей до 1 января 2015 г</w:t>
      </w:r>
      <w:r>
        <w:rPr>
          <w:szCs w:val="28"/>
        </w:rPr>
        <w:t>.</w:t>
      </w:r>
    </w:p>
    <w:p w:rsidR="007F6802" w:rsidRPr="00A75E1D" w:rsidRDefault="007F6802" w:rsidP="00081F9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A75E1D">
        <w:rPr>
          <w:szCs w:val="28"/>
        </w:rPr>
        <w:t>свобождени</w:t>
      </w:r>
      <w:r>
        <w:rPr>
          <w:szCs w:val="28"/>
        </w:rPr>
        <w:t>я</w:t>
      </w:r>
      <w:r w:rsidRPr="00A75E1D">
        <w:rPr>
          <w:szCs w:val="28"/>
        </w:rPr>
        <w:t xml:space="preserve"> от налога на имущество объектов ОС, находящихся на консервации и реконструкции. Консервация/реконструкция объектов ОС не позволяет использовать имущество в производственной деятельности и получать доход. Данный фактор реализован через отказ в начислении амортизации по ним. Кроме того, ряд объектов, находящихся на консервации, предполагаются к ликвидации, тем не </w:t>
      </w:r>
      <w:proofErr w:type="gramStart"/>
      <w:r w:rsidRPr="00A75E1D">
        <w:rPr>
          <w:szCs w:val="28"/>
        </w:rPr>
        <w:t>менее</w:t>
      </w:r>
      <w:proofErr w:type="gramEnd"/>
      <w:r w:rsidRPr="00A75E1D">
        <w:rPr>
          <w:szCs w:val="28"/>
        </w:rPr>
        <w:t xml:space="preserve"> существующие процедуры ликвидации ОС зачастую не могут быть завершены в короткие сроки, что приводит к уплате налога на имущество с неиспользуемых в производстве объектов, что является экономически необоснованным и приводит к дополнительной нагрузке на налогоплательщиков.</w:t>
      </w:r>
    </w:p>
    <w:p w:rsidR="007F6802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Целесообразно рассмотреть возможность с</w:t>
      </w:r>
      <w:r w:rsidRPr="005B4057">
        <w:rPr>
          <w:szCs w:val="28"/>
        </w:rPr>
        <w:t>нижени</w:t>
      </w:r>
      <w:r>
        <w:rPr>
          <w:szCs w:val="28"/>
        </w:rPr>
        <w:t>я</w:t>
      </w:r>
      <w:r w:rsidRPr="005B4057">
        <w:rPr>
          <w:szCs w:val="28"/>
        </w:rPr>
        <w:t xml:space="preserve"> порога владения, необходимого для применения нулевой ставки налога на прибыль по дивидендам, с 50% до 10% (только для дивидендов выплачиваемых внутри </w:t>
      </w:r>
      <w:r w:rsidRPr="005B4057">
        <w:rPr>
          <w:szCs w:val="28"/>
        </w:rPr>
        <w:lastRenderedPageBreak/>
        <w:t>страны), что является эффективной мерой по привлечению инвесторов в экономику страны и соответствует мировой практике</w:t>
      </w:r>
      <w:r>
        <w:rPr>
          <w:szCs w:val="28"/>
        </w:rPr>
        <w:t>.</w:t>
      </w:r>
    </w:p>
    <w:p w:rsidR="007F6802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D028E9">
        <w:rPr>
          <w:szCs w:val="28"/>
        </w:rPr>
        <w:t>Считаем необходимым включить в проект Основных направлений подготовку предложений в НК РФ в части введения института «соглашения о распределении затрат» (</w:t>
      </w:r>
      <w:proofErr w:type="spellStart"/>
      <w:r w:rsidRPr="00D028E9">
        <w:rPr>
          <w:szCs w:val="28"/>
        </w:rPr>
        <w:t>cost</w:t>
      </w:r>
      <w:proofErr w:type="spellEnd"/>
      <w:r w:rsidRPr="00D028E9">
        <w:rPr>
          <w:szCs w:val="28"/>
        </w:rPr>
        <w:t xml:space="preserve"> </w:t>
      </w:r>
      <w:proofErr w:type="spellStart"/>
      <w:r w:rsidRPr="00D028E9">
        <w:rPr>
          <w:szCs w:val="28"/>
        </w:rPr>
        <w:t>sharing</w:t>
      </w:r>
      <w:proofErr w:type="spellEnd"/>
      <w:r w:rsidRPr="00D028E9">
        <w:rPr>
          <w:szCs w:val="28"/>
        </w:rPr>
        <w:t>).</w:t>
      </w:r>
    </w:p>
    <w:p w:rsidR="007F6802" w:rsidRPr="00836F92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36F92">
        <w:rPr>
          <w:szCs w:val="28"/>
        </w:rPr>
        <w:t>В п.4 «Налогообложение доходов физических лиц» Проекта предлагаем добавить абзацы следующего содержания:</w:t>
      </w:r>
    </w:p>
    <w:p w:rsidR="007F6802" w:rsidRPr="00836F92" w:rsidRDefault="007F6802" w:rsidP="00C10BDF">
      <w:pPr>
        <w:spacing w:line="240" w:lineRule="auto"/>
        <w:ind w:firstLine="708"/>
        <w:jc w:val="both"/>
        <w:rPr>
          <w:szCs w:val="28"/>
        </w:rPr>
      </w:pPr>
      <w:proofErr w:type="gramStart"/>
      <w:r w:rsidRPr="00836F92">
        <w:rPr>
          <w:szCs w:val="28"/>
        </w:rPr>
        <w:t>«Во избежание риска ухудшения положения налогоплательщиков целесообразно с учетом роста инфляции и курса иностранной валюты рассмотреть возможность увеличения норматива суточных расходов, освобождаемых от налогообложения, установленного п.3 ст.217 Налогового Кодекса РФ, с 700 до 1400-2000 рублей за каждый день нахождения в командировке на территории Российской Федерации и с 2500 до 5000 – 5500 руб. за каждый день нахождения в заграничной</w:t>
      </w:r>
      <w:proofErr w:type="gramEnd"/>
      <w:r w:rsidRPr="00836F92">
        <w:rPr>
          <w:szCs w:val="28"/>
        </w:rPr>
        <w:t xml:space="preserve"> командировке.</w:t>
      </w:r>
    </w:p>
    <w:p w:rsidR="007F6802" w:rsidRPr="00836F92" w:rsidRDefault="007F6802" w:rsidP="00C10BDF">
      <w:pPr>
        <w:spacing w:line="240" w:lineRule="auto"/>
        <w:ind w:firstLine="708"/>
        <w:jc w:val="both"/>
        <w:rPr>
          <w:szCs w:val="28"/>
        </w:rPr>
      </w:pPr>
      <w:r w:rsidRPr="00836F92">
        <w:rPr>
          <w:szCs w:val="28"/>
        </w:rPr>
        <w:t xml:space="preserve">Данная корректировка приведет к установлению справедливого уровня налоговой нагрузки, что позволит налогоплательщикам уменьшить свой налогооблагаемый доход в </w:t>
      </w:r>
      <w:proofErr w:type="gramStart"/>
      <w:r w:rsidRPr="00836F92">
        <w:rPr>
          <w:szCs w:val="28"/>
        </w:rPr>
        <w:t>отношении</w:t>
      </w:r>
      <w:proofErr w:type="gramEnd"/>
      <w:r w:rsidRPr="00836F92">
        <w:rPr>
          <w:szCs w:val="28"/>
        </w:rPr>
        <w:t xml:space="preserve"> командировочных расходов и будет соответствовать текущим экономическим реалиям в стране.».</w:t>
      </w:r>
    </w:p>
    <w:p w:rsidR="007F6802" w:rsidRPr="00836F92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836F92">
        <w:rPr>
          <w:szCs w:val="28"/>
        </w:rPr>
        <w:t>Предлагаем в п.</w:t>
      </w:r>
      <w:r>
        <w:rPr>
          <w:szCs w:val="28"/>
        </w:rPr>
        <w:t xml:space="preserve"> 4</w:t>
      </w:r>
      <w:r w:rsidRPr="00836F92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III</w:t>
      </w:r>
      <w:r w:rsidRPr="00081F93">
        <w:rPr>
          <w:szCs w:val="28"/>
        </w:rPr>
        <w:t xml:space="preserve"> </w:t>
      </w:r>
      <w:r w:rsidRPr="00836F92">
        <w:rPr>
          <w:szCs w:val="28"/>
        </w:rPr>
        <w:t>Проекта «Совершенствование порядка налогообложения налогом на добавленную стоимость (НДС)» в целях стимулирования и повышения эффективности инвестиций, а также их государственной поддержки рассмотреть возможность внесения изменений в НК РФ в части освобождения от НДС услуг по банковскому сопровождению масштабных инвестиционных проектов (строительство автодорог, железнодорожной инфраструктуры, электростанций и т.д.), реализуемых, в т.ч. (но не исключительно</w:t>
      </w:r>
      <w:proofErr w:type="gramEnd"/>
      <w:r w:rsidRPr="00836F92">
        <w:rPr>
          <w:szCs w:val="28"/>
        </w:rPr>
        <w:t>) с привлечением средств Фонда национального благосостояния.</w:t>
      </w:r>
    </w:p>
    <w:p w:rsidR="007F6802" w:rsidRPr="00D35FC9" w:rsidRDefault="007F6802" w:rsidP="00081F9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D028E9">
        <w:rPr>
          <w:szCs w:val="28"/>
        </w:rPr>
        <w:t xml:space="preserve"> </w:t>
      </w:r>
      <w:r w:rsidRPr="00D35FC9">
        <w:rPr>
          <w:szCs w:val="28"/>
        </w:rPr>
        <w:t>Предлагаем дополнить п.10 Проекта подпунктом «Совершенствование правил налогообложения и контроля иностранных организаций в рамках законодательства о деофшоризации» основываясь на следующем.</w:t>
      </w:r>
    </w:p>
    <w:p w:rsidR="007F6802" w:rsidRPr="00D35FC9" w:rsidRDefault="007F6802" w:rsidP="00081F93">
      <w:pPr>
        <w:spacing w:line="240" w:lineRule="auto"/>
        <w:ind w:firstLine="708"/>
        <w:jc w:val="both"/>
        <w:rPr>
          <w:szCs w:val="28"/>
        </w:rPr>
      </w:pPr>
      <w:r w:rsidRPr="00D35FC9">
        <w:rPr>
          <w:szCs w:val="28"/>
        </w:rPr>
        <w:t>Положениями ст.</w:t>
      </w:r>
      <w:r>
        <w:rPr>
          <w:szCs w:val="28"/>
        </w:rPr>
        <w:t xml:space="preserve"> </w:t>
      </w:r>
      <w:r w:rsidRPr="00D35FC9">
        <w:rPr>
          <w:szCs w:val="28"/>
        </w:rPr>
        <w:t>7 и ст.</w:t>
      </w:r>
      <w:r>
        <w:rPr>
          <w:szCs w:val="28"/>
        </w:rPr>
        <w:t xml:space="preserve"> </w:t>
      </w:r>
      <w:r w:rsidRPr="00D35FC9">
        <w:rPr>
          <w:szCs w:val="28"/>
        </w:rPr>
        <w:t xml:space="preserve">312 НК РФ не определен порядок действий налогового агента в рамках процедуры определения фактического получателя дохода, не указаны требования к порядку подтверждения иностранным лицом фактического права на доход: в какой форме оно должно быть, с какой периодичностью и в каком формате представляться. При этом существуют намерения возложить на налогового агента обязанность проведения полного анализа деятельности иностранного контрагента (осуществляемых им функций, принимаемых в отношении дохода рисков, уставной, отчетной документации, структуры управления и штата, заключенных контрактов с другими контрагентами и пр.) с целью вынесения суждения о наличии/отсутствии фактического права на доход. Реализация указанных функций потребует значительного увеличения трудовых и временных ресурсов российских компаний-налоговых агентов и в </w:t>
      </w:r>
      <w:proofErr w:type="gramStart"/>
      <w:r w:rsidRPr="00D35FC9">
        <w:rPr>
          <w:szCs w:val="28"/>
        </w:rPr>
        <w:t>целом</w:t>
      </w:r>
      <w:proofErr w:type="gramEnd"/>
      <w:r w:rsidRPr="00D35FC9">
        <w:rPr>
          <w:szCs w:val="28"/>
        </w:rPr>
        <w:t xml:space="preserve"> не будет способствовать развитию международного сотрудничества. </w:t>
      </w:r>
    </w:p>
    <w:p w:rsidR="007F6802" w:rsidRPr="00D35FC9" w:rsidRDefault="007F6802" w:rsidP="00081F93">
      <w:pPr>
        <w:spacing w:line="240" w:lineRule="auto"/>
        <w:ind w:firstLine="708"/>
        <w:jc w:val="both"/>
        <w:rPr>
          <w:szCs w:val="28"/>
        </w:rPr>
      </w:pPr>
      <w:r w:rsidRPr="00D35FC9">
        <w:rPr>
          <w:szCs w:val="28"/>
        </w:rPr>
        <w:lastRenderedPageBreak/>
        <w:t>Кроме того, налоговый агент не освобождается от ответственности за представление иностранными контрагентами недостоверной (неполной) информации, аналогично тому, как это сделано в отношении выплат по российским ценным бумагам через иностранного номинального держателя (п.15 ст.</w:t>
      </w:r>
      <w:r>
        <w:rPr>
          <w:szCs w:val="28"/>
        </w:rPr>
        <w:t xml:space="preserve"> </w:t>
      </w:r>
      <w:r w:rsidRPr="00D35FC9">
        <w:rPr>
          <w:szCs w:val="28"/>
        </w:rPr>
        <w:t xml:space="preserve">310.1 НК РФ), в </w:t>
      </w:r>
      <w:proofErr w:type="gramStart"/>
      <w:r w:rsidRPr="00D35FC9">
        <w:rPr>
          <w:szCs w:val="28"/>
        </w:rPr>
        <w:t>связи</w:t>
      </w:r>
      <w:proofErr w:type="gramEnd"/>
      <w:r w:rsidRPr="00D35FC9">
        <w:rPr>
          <w:szCs w:val="28"/>
        </w:rPr>
        <w:t xml:space="preserve"> с чем у налогового агента возникают существенные налоговые риски.</w:t>
      </w:r>
    </w:p>
    <w:p w:rsidR="007F6802" w:rsidRPr="00D35FC9" w:rsidRDefault="007F6802" w:rsidP="00081F93">
      <w:pPr>
        <w:spacing w:line="240" w:lineRule="auto"/>
        <w:ind w:firstLine="708"/>
        <w:jc w:val="both"/>
        <w:rPr>
          <w:szCs w:val="28"/>
        </w:rPr>
      </w:pPr>
      <w:r w:rsidRPr="00D35FC9">
        <w:rPr>
          <w:szCs w:val="28"/>
        </w:rPr>
        <w:t xml:space="preserve">Предлагаем в налоговом законодательстве установить четкие и ясные правила налогообложения и требования к формам и порядку представления необходимых документов. При определении российскими налоговыми агентами фактического права на доход у иностранного контрагента предлагаем ограничиться представлением последним соответствующего документального заверения по законодательно установленной форме. </w:t>
      </w:r>
    </w:p>
    <w:p w:rsidR="007F6802" w:rsidRPr="00D35FC9" w:rsidRDefault="007F6802" w:rsidP="00081F93">
      <w:pPr>
        <w:spacing w:line="240" w:lineRule="auto"/>
        <w:ind w:firstLine="708"/>
        <w:jc w:val="both"/>
        <w:rPr>
          <w:szCs w:val="28"/>
        </w:rPr>
      </w:pPr>
      <w:r w:rsidRPr="00D35FC9">
        <w:rPr>
          <w:szCs w:val="28"/>
        </w:rPr>
        <w:t>Этому способствует предлагаемое внедрение системы автоматического обмена налоговыми органами информацией по финансовым операциям с иностранными юрисдикциями (п.</w:t>
      </w:r>
      <w:r>
        <w:rPr>
          <w:szCs w:val="28"/>
        </w:rPr>
        <w:t xml:space="preserve"> </w:t>
      </w:r>
      <w:r w:rsidRPr="00D35FC9">
        <w:rPr>
          <w:szCs w:val="28"/>
        </w:rPr>
        <w:t xml:space="preserve">10.1 Проекта), при </w:t>
      </w:r>
      <w:proofErr w:type="gramStart"/>
      <w:r w:rsidRPr="00D35FC9">
        <w:rPr>
          <w:szCs w:val="28"/>
        </w:rPr>
        <w:t>помощи</w:t>
      </w:r>
      <w:proofErr w:type="gramEnd"/>
      <w:r w:rsidRPr="00D35FC9">
        <w:rPr>
          <w:szCs w:val="28"/>
        </w:rPr>
        <w:t xml:space="preserve"> которой всю дополнительную информацию в рамках контрольных процедур налоговые органы при необходимости смогут получить от иностранных налоговых служб при значительно меньших трудовых и временных затратах.</w:t>
      </w:r>
    </w:p>
    <w:p w:rsidR="007F6802" w:rsidRPr="00D35FC9" w:rsidRDefault="007F6802" w:rsidP="00081F93">
      <w:pPr>
        <w:spacing w:line="240" w:lineRule="auto"/>
        <w:ind w:firstLine="708"/>
        <w:jc w:val="both"/>
        <w:rPr>
          <w:szCs w:val="28"/>
        </w:rPr>
      </w:pPr>
      <w:r w:rsidRPr="00D35FC9">
        <w:rPr>
          <w:szCs w:val="28"/>
        </w:rPr>
        <w:t>Также предлагаем предусмотреть освобождение налогового агента от ответственности вследствие представления ему иностранным лицом недостоверной и (или) неполной информации и (или) документов.</w:t>
      </w:r>
    </w:p>
    <w:p w:rsidR="007F6802" w:rsidRPr="009A4F60" w:rsidRDefault="00942666" w:rsidP="00942666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942666">
        <w:rPr>
          <w:szCs w:val="28"/>
        </w:rPr>
        <w:t xml:space="preserve">В </w:t>
      </w:r>
      <w:proofErr w:type="gramStart"/>
      <w:r>
        <w:rPr>
          <w:szCs w:val="28"/>
        </w:rPr>
        <w:t>п</w:t>
      </w:r>
      <w:r w:rsidRPr="009A4F60">
        <w:rPr>
          <w:szCs w:val="28"/>
        </w:rPr>
        <w:t>ункт</w:t>
      </w:r>
      <w:r>
        <w:rPr>
          <w:szCs w:val="28"/>
        </w:rPr>
        <w:t>е</w:t>
      </w:r>
      <w:proofErr w:type="gramEnd"/>
      <w:r w:rsidRPr="009A4F60">
        <w:rPr>
          <w:szCs w:val="28"/>
        </w:rPr>
        <w:t xml:space="preserve"> </w:t>
      </w:r>
      <w:r w:rsidR="007F6802">
        <w:rPr>
          <w:szCs w:val="28"/>
        </w:rPr>
        <w:t>9</w:t>
      </w:r>
      <w:r w:rsidR="007F6802" w:rsidRPr="009A4F60">
        <w:rPr>
          <w:szCs w:val="28"/>
        </w:rPr>
        <w:t>.4. «Совершенствование правил налогообложения при трансфертном ценообразовании» предлагается дополнить абзац шестой указанием на то, что представление недостоверных сведений должно повлечь за собой неуплату (неполную) уплату налога. В противном случае существует риск применения штрафных санкций в случае совершения добросовестным налогоплательщиком технической ошибки незначительного характера.</w:t>
      </w:r>
    </w:p>
    <w:p w:rsidR="007F6802" w:rsidRPr="009A4F60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9A4F60">
        <w:rPr>
          <w:szCs w:val="28"/>
        </w:rPr>
        <w:t>«В этой связи в плановом периоде предполагается:</w:t>
      </w:r>
    </w:p>
    <w:p w:rsidR="007F6802" w:rsidRPr="009A4F60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9A4F60">
        <w:rPr>
          <w:szCs w:val="28"/>
        </w:rPr>
        <w:t>1) пересмотр требований к раскрытию информации о контролируемых сделках, содержащейся в документации о ценообразовании в целях налогового контроля и в уведомлениях о контролируемых сделках, в том числе с учетом предложений, опубликованных ОЭСР в рамках Плана BEPS;</w:t>
      </w:r>
    </w:p>
    <w:p w:rsidR="007F6802" w:rsidRPr="00AC4C48" w:rsidRDefault="007F6802" w:rsidP="00081F93">
      <w:pPr>
        <w:spacing w:line="240" w:lineRule="auto"/>
        <w:ind w:firstLine="709"/>
        <w:jc w:val="both"/>
        <w:rPr>
          <w:szCs w:val="28"/>
        </w:rPr>
      </w:pPr>
      <w:r w:rsidRPr="009A4F60">
        <w:rPr>
          <w:szCs w:val="28"/>
        </w:rPr>
        <w:t>2) увеличение санкций за непредставление документации о ценообразовании в целях налогового контроля и уведомления о контролируемых сделках и (или) представление в них недостоверных сведений, повлекшее неуплату (неполную уплату сумм налога), с одновременным рассмотрением вопроса об освобождении налогоплательщиков от подготовки документации по несущественным сделкам</w:t>
      </w:r>
      <w:proofErr w:type="gramStart"/>
      <w:r w:rsidRPr="009A4F60">
        <w:rPr>
          <w:szCs w:val="28"/>
        </w:rPr>
        <w:t>;»</w:t>
      </w:r>
      <w:proofErr w:type="gramEnd"/>
    </w:p>
    <w:sectPr w:rsidR="007F6802" w:rsidRPr="00AC4C48" w:rsidSect="002548E7">
      <w:headerReference w:type="default" r:id="rId8"/>
      <w:pgSz w:w="11906" w:h="16838"/>
      <w:pgMar w:top="1134" w:right="1191" w:bottom="851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1C" w:rsidRDefault="004C571C" w:rsidP="002548E7">
      <w:pPr>
        <w:spacing w:line="240" w:lineRule="auto"/>
      </w:pPr>
      <w:r>
        <w:separator/>
      </w:r>
    </w:p>
  </w:endnote>
  <w:endnote w:type="continuationSeparator" w:id="0">
    <w:p w:rsidR="004C571C" w:rsidRDefault="004C571C" w:rsidP="00254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1C" w:rsidRDefault="004C571C" w:rsidP="002548E7">
      <w:pPr>
        <w:spacing w:line="240" w:lineRule="auto"/>
      </w:pPr>
      <w:r>
        <w:separator/>
      </w:r>
    </w:p>
  </w:footnote>
  <w:footnote w:type="continuationSeparator" w:id="0">
    <w:p w:rsidR="004C571C" w:rsidRDefault="004C571C" w:rsidP="00254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02" w:rsidRDefault="00597BF0" w:rsidP="002548E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534B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B43"/>
    <w:multiLevelType w:val="hybridMultilevel"/>
    <w:tmpl w:val="43521382"/>
    <w:lvl w:ilvl="0" w:tplc="CF2205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737CFE"/>
    <w:multiLevelType w:val="hybridMultilevel"/>
    <w:tmpl w:val="9E02222E"/>
    <w:lvl w:ilvl="0" w:tplc="E40405C4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53311FC"/>
    <w:multiLevelType w:val="hybridMultilevel"/>
    <w:tmpl w:val="9E02222E"/>
    <w:lvl w:ilvl="0" w:tplc="E40405C4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trackRevision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6D"/>
    <w:rsid w:val="0000219E"/>
    <w:rsid w:val="000132FE"/>
    <w:rsid w:val="000351BA"/>
    <w:rsid w:val="00057FB2"/>
    <w:rsid w:val="00071973"/>
    <w:rsid w:val="0007766D"/>
    <w:rsid w:val="00081F93"/>
    <w:rsid w:val="00084D8D"/>
    <w:rsid w:val="000C5C39"/>
    <w:rsid w:val="001242BB"/>
    <w:rsid w:val="00131399"/>
    <w:rsid w:val="00145015"/>
    <w:rsid w:val="00147AAF"/>
    <w:rsid w:val="001534BD"/>
    <w:rsid w:val="001567C0"/>
    <w:rsid w:val="00170B6C"/>
    <w:rsid w:val="0018013D"/>
    <w:rsid w:val="00191A1D"/>
    <w:rsid w:val="00230063"/>
    <w:rsid w:val="002548E7"/>
    <w:rsid w:val="00254F8E"/>
    <w:rsid w:val="0026673C"/>
    <w:rsid w:val="00277497"/>
    <w:rsid w:val="002874AA"/>
    <w:rsid w:val="0029780E"/>
    <w:rsid w:val="002B7C34"/>
    <w:rsid w:val="00343610"/>
    <w:rsid w:val="00371A31"/>
    <w:rsid w:val="00377630"/>
    <w:rsid w:val="003A0713"/>
    <w:rsid w:val="003B2467"/>
    <w:rsid w:val="003B2698"/>
    <w:rsid w:val="003B6C11"/>
    <w:rsid w:val="003D7A45"/>
    <w:rsid w:val="00420FAA"/>
    <w:rsid w:val="0044046F"/>
    <w:rsid w:val="004C2812"/>
    <w:rsid w:val="004C571C"/>
    <w:rsid w:val="00587587"/>
    <w:rsid w:val="00597BF0"/>
    <w:rsid w:val="005B4057"/>
    <w:rsid w:val="005B5830"/>
    <w:rsid w:val="005C00AC"/>
    <w:rsid w:val="005C1E48"/>
    <w:rsid w:val="005C5F49"/>
    <w:rsid w:val="005F2169"/>
    <w:rsid w:val="00606302"/>
    <w:rsid w:val="006110EB"/>
    <w:rsid w:val="0061692A"/>
    <w:rsid w:val="006A53D9"/>
    <w:rsid w:val="006E3C6D"/>
    <w:rsid w:val="007969FD"/>
    <w:rsid w:val="007A2A1D"/>
    <w:rsid w:val="007F6802"/>
    <w:rsid w:val="00836F92"/>
    <w:rsid w:val="00840F12"/>
    <w:rsid w:val="00897243"/>
    <w:rsid w:val="008C3980"/>
    <w:rsid w:val="008D7B10"/>
    <w:rsid w:val="00934374"/>
    <w:rsid w:val="00942666"/>
    <w:rsid w:val="00945CE6"/>
    <w:rsid w:val="009466F4"/>
    <w:rsid w:val="00954438"/>
    <w:rsid w:val="00980950"/>
    <w:rsid w:val="009A1728"/>
    <w:rsid w:val="009A4F60"/>
    <w:rsid w:val="009B6E16"/>
    <w:rsid w:val="009C7E1C"/>
    <w:rsid w:val="00A01FC7"/>
    <w:rsid w:val="00A47D02"/>
    <w:rsid w:val="00A75E1D"/>
    <w:rsid w:val="00A75E7A"/>
    <w:rsid w:val="00A77AA9"/>
    <w:rsid w:val="00AA5E71"/>
    <w:rsid w:val="00AC4C48"/>
    <w:rsid w:val="00AC54DC"/>
    <w:rsid w:val="00B02D45"/>
    <w:rsid w:val="00B06BC0"/>
    <w:rsid w:val="00B22B86"/>
    <w:rsid w:val="00B60B2D"/>
    <w:rsid w:val="00B90484"/>
    <w:rsid w:val="00BE74DB"/>
    <w:rsid w:val="00C1091F"/>
    <w:rsid w:val="00C10BDF"/>
    <w:rsid w:val="00C13F36"/>
    <w:rsid w:val="00C14B47"/>
    <w:rsid w:val="00C41270"/>
    <w:rsid w:val="00C52CF0"/>
    <w:rsid w:val="00C86300"/>
    <w:rsid w:val="00D028E9"/>
    <w:rsid w:val="00D31A1A"/>
    <w:rsid w:val="00D35FC9"/>
    <w:rsid w:val="00D5225A"/>
    <w:rsid w:val="00D55596"/>
    <w:rsid w:val="00D800D0"/>
    <w:rsid w:val="00DA2DF3"/>
    <w:rsid w:val="00DD7B74"/>
    <w:rsid w:val="00DF5957"/>
    <w:rsid w:val="00E0251D"/>
    <w:rsid w:val="00E17CB1"/>
    <w:rsid w:val="00E473E8"/>
    <w:rsid w:val="00E622A7"/>
    <w:rsid w:val="00E659D6"/>
    <w:rsid w:val="00EA77B0"/>
    <w:rsid w:val="00EB4826"/>
    <w:rsid w:val="00EC78CC"/>
    <w:rsid w:val="00EF3CC0"/>
    <w:rsid w:val="00EF43C0"/>
    <w:rsid w:val="00F253C1"/>
    <w:rsid w:val="00F543DA"/>
    <w:rsid w:val="00F63F7A"/>
    <w:rsid w:val="00F70D98"/>
    <w:rsid w:val="00F76BA2"/>
    <w:rsid w:val="00FC2AE0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74"/>
    <w:pPr>
      <w:spacing w:line="360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F1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BE74D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E74DB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548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548E7"/>
    <w:rPr>
      <w:rFonts w:cs="Times New Roman"/>
    </w:rPr>
  </w:style>
  <w:style w:type="paragraph" w:styleId="a8">
    <w:name w:val="footer"/>
    <w:basedOn w:val="a"/>
    <w:link w:val="a9"/>
    <w:uiPriority w:val="99"/>
    <w:rsid w:val="002548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548E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54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4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74"/>
    <w:pPr>
      <w:spacing w:line="360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F1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BE74D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E74DB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548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548E7"/>
    <w:rPr>
      <w:rFonts w:cs="Times New Roman"/>
    </w:rPr>
  </w:style>
  <w:style w:type="paragraph" w:styleId="a8">
    <w:name w:val="footer"/>
    <w:basedOn w:val="a"/>
    <w:link w:val="a9"/>
    <w:uiPriority w:val="99"/>
    <w:rsid w:val="002548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548E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54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2015-05-28T13:14:00Z</dcterms:created>
  <dcterms:modified xsi:type="dcterms:W3CDTF">2015-05-28T13:18:00Z</dcterms:modified>
</cp:coreProperties>
</file>