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D691" w14:textId="0A2C8599" w:rsidR="00742A00" w:rsidRPr="00F46F31" w:rsidRDefault="00742A00" w:rsidP="00BC7B58">
      <w:pPr>
        <w:jc w:val="center"/>
      </w:pPr>
      <w:r w:rsidRPr="00F46F31">
        <w:t xml:space="preserve">Замечания по проекту федерального закона «О внесении изменений в часть первую </w:t>
      </w:r>
      <w:bookmarkStart w:id="0" w:name="_GoBack"/>
      <w:bookmarkEnd w:id="0"/>
      <w:r w:rsidRPr="00F46F31">
        <w:t>Налогового кодекса Российской Федерации (в части совершенствования налогового контроля за ценами и порядка заключения соглашений о ценообразовании для целей налогообложения)</w:t>
      </w:r>
    </w:p>
    <w:p w14:paraId="64705330" w14:textId="77777777" w:rsidR="00742A00" w:rsidRPr="00F46F31" w:rsidRDefault="00742A00" w:rsidP="00CC6892">
      <w:pPr>
        <w:ind w:firstLine="709"/>
        <w:jc w:val="both"/>
      </w:pPr>
    </w:p>
    <w:p w14:paraId="44344276" w14:textId="690DEB89" w:rsidR="00742A00" w:rsidRPr="00F46F31" w:rsidRDefault="00742A00" w:rsidP="00CC68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31">
        <w:rPr>
          <w:rFonts w:ascii="Times New Roman" w:hAnsi="Times New Roman"/>
          <w:sz w:val="28"/>
          <w:szCs w:val="28"/>
        </w:rPr>
        <w:t>Предлагаемые правки к пп.</w:t>
      </w:r>
      <w:r w:rsidR="00EC14E1" w:rsidRPr="00F46F31">
        <w:rPr>
          <w:rFonts w:ascii="Times New Roman" w:hAnsi="Times New Roman"/>
          <w:sz w:val="28"/>
          <w:szCs w:val="28"/>
        </w:rPr>
        <w:t xml:space="preserve"> </w:t>
      </w:r>
      <w:r w:rsidRPr="00F46F31">
        <w:rPr>
          <w:rFonts w:ascii="Times New Roman" w:hAnsi="Times New Roman"/>
          <w:sz w:val="28"/>
          <w:szCs w:val="28"/>
        </w:rPr>
        <w:t xml:space="preserve">2 п. 1 </w:t>
      </w:r>
      <w:r w:rsidR="00EC14E1" w:rsidRPr="00F46F31">
        <w:rPr>
          <w:rFonts w:ascii="Times New Roman" w:hAnsi="Times New Roman"/>
          <w:sz w:val="28"/>
          <w:szCs w:val="28"/>
        </w:rPr>
        <w:t xml:space="preserve">ст. </w:t>
      </w:r>
      <w:r w:rsidRPr="00F46F31">
        <w:rPr>
          <w:rFonts w:ascii="Times New Roman" w:hAnsi="Times New Roman"/>
          <w:sz w:val="28"/>
          <w:szCs w:val="28"/>
        </w:rPr>
        <w:t xml:space="preserve">105.14 предполагают признание контролируемыми внешнеторговых сделок, предметом которых являются товары, составляющие основные статьи экспорта Российской Федерации (нефть, черные и цветные металлы, минеральные удобрения, драгоценные камни и металлы), а не только биржевые товары из данных категорий экспорта. </w:t>
      </w:r>
    </w:p>
    <w:p w14:paraId="23E68388" w14:textId="3801D621" w:rsidR="00742A00" w:rsidRPr="00F46F31" w:rsidRDefault="00FF6604" w:rsidP="00CC6892">
      <w:pPr>
        <w:ind w:firstLine="709"/>
        <w:jc w:val="both"/>
      </w:pPr>
      <w:r w:rsidRPr="00F46F31">
        <w:t>Учитывая, что экспорт сырьевых товаров в адрес взаимозависимых лиц в настоящий момент уже контролируется, д</w:t>
      </w:r>
      <w:r w:rsidR="00742A00" w:rsidRPr="00F46F31">
        <w:t>анная поправка фактически приведет</w:t>
      </w:r>
      <w:r w:rsidRPr="00F46F31">
        <w:t xml:space="preserve"> к</w:t>
      </w:r>
      <w:r w:rsidR="00742A00" w:rsidRPr="00F46F31">
        <w:t xml:space="preserve"> </w:t>
      </w:r>
      <w:r w:rsidRPr="00F46F31">
        <w:t xml:space="preserve">расширению контроля </w:t>
      </w:r>
      <w:r w:rsidR="00742A00" w:rsidRPr="00F46F31">
        <w:t xml:space="preserve">цен по сделкам с независимыми контрагентами. </w:t>
      </w:r>
      <w:r w:rsidRPr="00F46F31">
        <w:t>В связи с этим, с</w:t>
      </w:r>
      <w:r w:rsidR="00742A00" w:rsidRPr="00F46F31">
        <w:t>читаем внедрение поправки противоречащим основному принципу трансфертного ценообразования: цены в сделках между независимыми лицами априори являются рыночными. Таким образом</w:t>
      </w:r>
      <w:r w:rsidR="00CC6892" w:rsidRPr="00F46F31">
        <w:t>,</w:t>
      </w:r>
      <w:r w:rsidR="00742A00" w:rsidRPr="00F46F31">
        <w:t xml:space="preserve"> поправка приведет к необоснованной дополнительной нагрузке на налогоплательщиков, вынужденных подтверждать рыночный характер цен с независимыми лицами, а также подавать уведомления по таким сделкам</w:t>
      </w:r>
      <w:r w:rsidR="00CC6892" w:rsidRPr="00F46F31">
        <w:t>.</w:t>
      </w:r>
    </w:p>
    <w:p w14:paraId="5D50CA00" w14:textId="3980918C" w:rsidR="00B65CCE" w:rsidRPr="00F46F31" w:rsidRDefault="00B65CCE" w:rsidP="00CC6892">
      <w:pPr>
        <w:ind w:firstLine="709"/>
        <w:jc w:val="both"/>
      </w:pPr>
      <w:r w:rsidRPr="00F46F31">
        <w:t xml:space="preserve">Контролироваться будут экспортные сделки с независимыми контрагентами в </w:t>
      </w:r>
      <w:proofErr w:type="spellStart"/>
      <w:r w:rsidRPr="00F46F31">
        <w:t>неофшорных</w:t>
      </w:r>
      <w:proofErr w:type="spellEnd"/>
      <w:r w:rsidRPr="00F46F31">
        <w:t xml:space="preserve"> юрисдикциях, включая страны ЕАЭС, Таможенного союза, что также </w:t>
      </w:r>
      <w:r w:rsidR="00121B39" w:rsidRPr="00F46F31">
        <w:t>необоснованно</w:t>
      </w:r>
      <w:r w:rsidRPr="00F46F31">
        <w:t>.</w:t>
      </w:r>
    </w:p>
    <w:p w14:paraId="7F625AC8" w14:textId="77777777" w:rsidR="00FF6604" w:rsidRPr="00F46F31" w:rsidRDefault="00FF6604" w:rsidP="00CC6892">
      <w:pPr>
        <w:ind w:firstLine="709"/>
        <w:jc w:val="both"/>
      </w:pPr>
      <w:r w:rsidRPr="00F46F31">
        <w:t xml:space="preserve">Таким образом, предлагаемая редакция законопроекта в части изменений к пп. 2 п. 1 </w:t>
      </w:r>
      <w:r w:rsidR="00EC14E1" w:rsidRPr="00F46F31">
        <w:t>ст.</w:t>
      </w:r>
      <w:r w:rsidRPr="00F46F31">
        <w:t xml:space="preserve"> 105.14 значительно ухудшает положение налогоплательщиков, в связи с чем предлагаем сохранить пп. 2 п. 1 </w:t>
      </w:r>
      <w:r w:rsidR="00EC14E1" w:rsidRPr="00F46F31">
        <w:t>ст.</w:t>
      </w:r>
      <w:r w:rsidRPr="00F46F31">
        <w:t xml:space="preserve"> 105.14 в действующей редакции. </w:t>
      </w:r>
    </w:p>
    <w:p w14:paraId="7B41A35D" w14:textId="77777777" w:rsidR="006B6502" w:rsidRPr="00F46F31" w:rsidRDefault="00742A00" w:rsidP="006B6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31">
        <w:rPr>
          <w:rFonts w:ascii="Times New Roman" w:hAnsi="Times New Roman"/>
          <w:sz w:val="28"/>
          <w:szCs w:val="28"/>
        </w:rPr>
        <w:t xml:space="preserve">Предлагаемые правки к п. 7 ст. 105.17 предполагают право истребовать информацию о контролируемых сделках не только у участников проверяемых сделок, но и у иных лиц, располагающих такой информацией. </w:t>
      </w:r>
      <w:r w:rsidR="006B6502" w:rsidRPr="00F46F31">
        <w:rPr>
          <w:rFonts w:ascii="Times New Roman" w:hAnsi="Times New Roman"/>
          <w:sz w:val="28"/>
          <w:szCs w:val="28"/>
        </w:rPr>
        <w:t>Достоверной информацией о параметрах сделок обладают только стороны сделок, иные лица могут предоставить недостоверные сведения, что приведет к нарушению прав налогоплательщиков.</w:t>
      </w:r>
      <w:r w:rsidR="00EC14E1" w:rsidRPr="00F46F31">
        <w:rPr>
          <w:rFonts w:ascii="Times New Roman" w:hAnsi="Times New Roman"/>
          <w:sz w:val="28"/>
          <w:szCs w:val="28"/>
        </w:rPr>
        <w:t xml:space="preserve"> В связи с этим, предлагаем сохранить п. 7 ст. 105.17 в действующей редакции. </w:t>
      </w:r>
    </w:p>
    <w:p w14:paraId="2025189A" w14:textId="439FF594" w:rsidR="006C5C1F" w:rsidRPr="00F46F31" w:rsidRDefault="00121B39" w:rsidP="00CC68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31">
        <w:rPr>
          <w:rFonts w:ascii="Times New Roman" w:hAnsi="Times New Roman"/>
          <w:sz w:val="28"/>
          <w:szCs w:val="28"/>
        </w:rPr>
        <w:t>В статью 105.17 в</w:t>
      </w:r>
      <w:r w:rsidR="006C5C1F" w:rsidRPr="00F46F31">
        <w:rPr>
          <w:rFonts w:ascii="Times New Roman" w:hAnsi="Times New Roman"/>
          <w:sz w:val="28"/>
          <w:szCs w:val="28"/>
        </w:rPr>
        <w:t>веден пункт</w:t>
      </w:r>
      <w:r w:rsidRPr="00F46F31">
        <w:rPr>
          <w:rFonts w:ascii="Times New Roman" w:hAnsi="Times New Roman"/>
          <w:sz w:val="28"/>
          <w:szCs w:val="28"/>
        </w:rPr>
        <w:t xml:space="preserve"> 5.1 предусматривающий</w:t>
      </w:r>
      <w:r w:rsidR="006C5C1F" w:rsidRPr="00F46F31">
        <w:rPr>
          <w:rFonts w:ascii="Times New Roman" w:hAnsi="Times New Roman"/>
          <w:sz w:val="28"/>
          <w:szCs w:val="28"/>
        </w:rPr>
        <w:t xml:space="preserve"> </w:t>
      </w:r>
      <w:r w:rsidRPr="00F46F31">
        <w:rPr>
          <w:rFonts w:ascii="Times New Roman" w:hAnsi="Times New Roman"/>
          <w:sz w:val="28"/>
          <w:szCs w:val="28"/>
        </w:rPr>
        <w:t xml:space="preserve">увеличение </w:t>
      </w:r>
      <w:r w:rsidR="006C5C1F" w:rsidRPr="00F46F31">
        <w:rPr>
          <w:rFonts w:ascii="Times New Roman" w:hAnsi="Times New Roman"/>
          <w:sz w:val="28"/>
          <w:szCs w:val="28"/>
        </w:rPr>
        <w:t>срока хранения документов</w:t>
      </w:r>
      <w:r w:rsidR="00FA1D72" w:rsidRPr="00F46F31">
        <w:rPr>
          <w:rFonts w:ascii="Times New Roman" w:hAnsi="Times New Roman"/>
          <w:sz w:val="28"/>
          <w:szCs w:val="28"/>
        </w:rPr>
        <w:t xml:space="preserve"> в случае обращения налогоплательщика с заявлением о заключении соглашения о ценообразовании</w:t>
      </w:r>
      <w:r w:rsidR="006C5C1F" w:rsidRPr="00F46F31">
        <w:rPr>
          <w:rFonts w:ascii="Times New Roman" w:hAnsi="Times New Roman"/>
          <w:sz w:val="28"/>
          <w:szCs w:val="28"/>
        </w:rPr>
        <w:t xml:space="preserve"> до</w:t>
      </w:r>
      <w:r w:rsidR="00FA1D72" w:rsidRPr="00F46F31">
        <w:rPr>
          <w:rFonts w:ascii="Times New Roman" w:hAnsi="Times New Roman"/>
          <w:sz w:val="28"/>
          <w:szCs w:val="28"/>
        </w:rPr>
        <w:t xml:space="preserve"> 6 лет в отношении внутрироссийской сделки (до 10 лет по внешнеторговой сделке) </w:t>
      </w:r>
      <w:r w:rsidR="006B6502" w:rsidRPr="00F46F31">
        <w:rPr>
          <w:rFonts w:ascii="Times New Roman" w:hAnsi="Times New Roman"/>
          <w:sz w:val="28"/>
          <w:szCs w:val="28"/>
        </w:rPr>
        <w:t xml:space="preserve">, что является </w:t>
      </w:r>
      <w:r w:rsidR="006C5C1F" w:rsidRPr="00F46F31">
        <w:rPr>
          <w:rFonts w:ascii="Times New Roman" w:hAnsi="Times New Roman"/>
          <w:sz w:val="28"/>
          <w:szCs w:val="28"/>
        </w:rPr>
        <w:t>ущемление</w:t>
      </w:r>
      <w:r w:rsidR="006B6502" w:rsidRPr="00F46F31">
        <w:rPr>
          <w:rFonts w:ascii="Times New Roman" w:hAnsi="Times New Roman"/>
          <w:sz w:val="28"/>
          <w:szCs w:val="28"/>
        </w:rPr>
        <w:t>м</w:t>
      </w:r>
      <w:r w:rsidR="006C5C1F" w:rsidRPr="00F46F31">
        <w:rPr>
          <w:rFonts w:ascii="Times New Roman" w:hAnsi="Times New Roman"/>
          <w:sz w:val="28"/>
          <w:szCs w:val="28"/>
        </w:rPr>
        <w:t xml:space="preserve"> интересов </w:t>
      </w:r>
      <w:r w:rsidR="00FA1D72" w:rsidRPr="00F46F31">
        <w:rPr>
          <w:rFonts w:ascii="Times New Roman" w:hAnsi="Times New Roman"/>
          <w:sz w:val="28"/>
          <w:szCs w:val="28"/>
        </w:rPr>
        <w:t>налогоплательщиков, так как</w:t>
      </w:r>
      <w:r w:rsidR="006C5C1F" w:rsidRPr="00F46F31">
        <w:rPr>
          <w:rFonts w:ascii="Times New Roman" w:hAnsi="Times New Roman"/>
          <w:sz w:val="28"/>
          <w:szCs w:val="28"/>
        </w:rPr>
        <w:t xml:space="preserve"> чрезмерный срок хранения </w:t>
      </w:r>
      <w:r w:rsidR="00FA1D72" w:rsidRPr="00F46F31">
        <w:rPr>
          <w:rFonts w:ascii="Times New Roman" w:hAnsi="Times New Roman"/>
          <w:sz w:val="28"/>
          <w:szCs w:val="28"/>
        </w:rPr>
        <w:t>требует дополнительных значительных издержек (обеспечение</w:t>
      </w:r>
      <w:r w:rsidR="006C5C1F" w:rsidRPr="00F46F31">
        <w:rPr>
          <w:rFonts w:ascii="Times New Roman" w:hAnsi="Times New Roman"/>
          <w:sz w:val="28"/>
          <w:szCs w:val="28"/>
        </w:rPr>
        <w:t xml:space="preserve"> </w:t>
      </w:r>
      <w:r w:rsidR="00FA1D72" w:rsidRPr="00F46F31">
        <w:rPr>
          <w:rFonts w:ascii="Times New Roman" w:hAnsi="Times New Roman"/>
          <w:sz w:val="28"/>
          <w:szCs w:val="28"/>
        </w:rPr>
        <w:t>места хранения</w:t>
      </w:r>
      <w:r w:rsidR="006C5C1F" w:rsidRPr="00F46F31">
        <w:rPr>
          <w:rFonts w:ascii="Times New Roman" w:hAnsi="Times New Roman"/>
          <w:sz w:val="28"/>
          <w:szCs w:val="28"/>
        </w:rPr>
        <w:t xml:space="preserve">, </w:t>
      </w:r>
      <w:r w:rsidR="00FA1D72" w:rsidRPr="00F46F31">
        <w:rPr>
          <w:rFonts w:ascii="Times New Roman" w:hAnsi="Times New Roman"/>
          <w:sz w:val="28"/>
          <w:szCs w:val="28"/>
        </w:rPr>
        <w:t xml:space="preserve">выделение ответственных сотрудников </w:t>
      </w:r>
      <w:r w:rsidR="006C5C1F" w:rsidRPr="00F46F31">
        <w:rPr>
          <w:rFonts w:ascii="Times New Roman" w:hAnsi="Times New Roman"/>
          <w:sz w:val="28"/>
          <w:szCs w:val="28"/>
        </w:rPr>
        <w:t>и пр.</w:t>
      </w:r>
      <w:r w:rsidR="00FA1D72" w:rsidRPr="00F46F31">
        <w:rPr>
          <w:rFonts w:ascii="Times New Roman" w:hAnsi="Times New Roman"/>
          <w:sz w:val="28"/>
          <w:szCs w:val="28"/>
        </w:rPr>
        <w:t>)</w:t>
      </w:r>
      <w:r w:rsidR="006C5C1F" w:rsidRPr="00F46F31">
        <w:rPr>
          <w:rFonts w:ascii="Times New Roman" w:hAnsi="Times New Roman"/>
          <w:sz w:val="28"/>
          <w:szCs w:val="28"/>
        </w:rPr>
        <w:t xml:space="preserve"> Данная норма ухудшает положение налогоплательщика</w:t>
      </w:r>
      <w:r w:rsidR="00FA1D72" w:rsidRPr="00F46F31">
        <w:rPr>
          <w:rFonts w:ascii="Times New Roman" w:hAnsi="Times New Roman"/>
          <w:sz w:val="28"/>
          <w:szCs w:val="28"/>
        </w:rPr>
        <w:t>, с связи с чем предлагаем сохранить действующую редакцию.</w:t>
      </w:r>
    </w:p>
    <w:p w14:paraId="4A2DA27D" w14:textId="22D09178" w:rsidR="00742A00" w:rsidRPr="00F46F31" w:rsidRDefault="006B6502" w:rsidP="006B6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31">
        <w:rPr>
          <w:rFonts w:ascii="Times New Roman" w:hAnsi="Times New Roman"/>
          <w:sz w:val="28"/>
          <w:szCs w:val="28"/>
        </w:rPr>
        <w:t>П</w:t>
      </w:r>
      <w:r w:rsidR="00742A00" w:rsidRPr="00F46F31">
        <w:rPr>
          <w:rFonts w:ascii="Times New Roman" w:hAnsi="Times New Roman"/>
          <w:sz w:val="28"/>
          <w:szCs w:val="28"/>
        </w:rPr>
        <w:t xml:space="preserve">оправки в пункт 6 статьи 105.16 НК РФ и в пункт 1 статьи 105.17 НК РФ предусматривают возможность формирования территориальными </w:t>
      </w:r>
      <w:r w:rsidR="00742A00" w:rsidRPr="00F46F31">
        <w:rPr>
          <w:rFonts w:ascii="Times New Roman" w:hAnsi="Times New Roman"/>
          <w:sz w:val="28"/>
          <w:szCs w:val="28"/>
        </w:rPr>
        <w:lastRenderedPageBreak/>
        <w:t>налоговыми органами вне рамок налоговых проверок</w:t>
      </w:r>
      <w:r w:rsidR="00FA1D72" w:rsidRPr="00F46F31">
        <w:rPr>
          <w:rFonts w:ascii="Times New Roman" w:hAnsi="Times New Roman"/>
          <w:sz w:val="28"/>
          <w:szCs w:val="28"/>
        </w:rPr>
        <w:t xml:space="preserve"> и (или)</w:t>
      </w:r>
      <w:r w:rsidR="00742A00" w:rsidRPr="00F46F31">
        <w:rPr>
          <w:rFonts w:ascii="Times New Roman" w:hAnsi="Times New Roman"/>
          <w:sz w:val="28"/>
          <w:szCs w:val="28"/>
        </w:rPr>
        <w:t xml:space="preserve"> налогового мониторинга извещений о выявленных контролируемых сделках, не указанных в уведомлении о контролируемых сделках. </w:t>
      </w:r>
      <w:r w:rsidR="00A67257" w:rsidRPr="00F46F31">
        <w:rPr>
          <w:rFonts w:ascii="Times New Roman" w:hAnsi="Times New Roman"/>
          <w:sz w:val="28"/>
          <w:szCs w:val="28"/>
        </w:rPr>
        <w:t>При этом, у</w:t>
      </w:r>
      <w:r w:rsidR="00742A00" w:rsidRPr="00F46F31">
        <w:rPr>
          <w:rFonts w:ascii="Times New Roman" w:hAnsi="Times New Roman"/>
          <w:sz w:val="28"/>
          <w:szCs w:val="28"/>
        </w:rPr>
        <w:t>становление всех обстоятельств сделки и определение суммы доходов участников по сделке для отнесения ее к контролируемым, осуществляется на основании информации из договора, первичных документов по сделке и данных бухгалтерского учета. Данная информация также необходима для полноценного заполнения формы извещения о контролируемых сделках.</w:t>
      </w:r>
    </w:p>
    <w:p w14:paraId="53BF6761" w14:textId="77777777" w:rsidR="00742A00" w:rsidRPr="00F46F31" w:rsidRDefault="00742A00" w:rsidP="006B6502">
      <w:pPr>
        <w:ind w:firstLine="708"/>
        <w:jc w:val="both"/>
      </w:pPr>
      <w:r w:rsidRPr="00F46F31">
        <w:t>Указанные сведения могут быть получены налоговым органом при истребовании указанной информации в порядке, предусмотренном п.1 ст. 93.1 НК РФ либо в рамках мероприятий налогового контроля, налогового мониторинга.</w:t>
      </w:r>
    </w:p>
    <w:p w14:paraId="70EDE980" w14:textId="77777777" w:rsidR="00742A00" w:rsidRPr="00F46F31" w:rsidRDefault="006B6502" w:rsidP="006B6502">
      <w:pPr>
        <w:ind w:firstLine="709"/>
        <w:jc w:val="both"/>
      </w:pPr>
      <w:r w:rsidRPr="00F46F31">
        <w:t>В</w:t>
      </w:r>
      <w:r w:rsidR="00742A00" w:rsidRPr="00F46F31">
        <w:t>озможность формирования извещения вне рамок налоговых проверок, налогового мониторинга приведет к ухудшению положения добросовестных налогоплательщиков в связи со следующим:</w:t>
      </w:r>
    </w:p>
    <w:p w14:paraId="7223B79A" w14:textId="77777777" w:rsidR="00742A00" w:rsidRPr="00F46F31" w:rsidRDefault="00742A00" w:rsidP="006B6502">
      <w:pPr>
        <w:ind w:firstLine="709"/>
        <w:jc w:val="both"/>
      </w:pPr>
      <w:r w:rsidRPr="00F46F31">
        <w:t>•</w:t>
      </w:r>
      <w:r w:rsidRPr="00F46F31">
        <w:tab/>
        <w:t>увеличением числа запросов документов (информации) исключительно в целях выявления контролируемых сделок и заполнения извещения о контролируемых сделках;</w:t>
      </w:r>
    </w:p>
    <w:p w14:paraId="5F47828F" w14:textId="36696E81" w:rsidR="00742A00" w:rsidRPr="00F46F31" w:rsidRDefault="00742A00" w:rsidP="006B6502">
      <w:pPr>
        <w:ind w:firstLine="709"/>
        <w:jc w:val="both"/>
      </w:pPr>
      <w:r w:rsidRPr="00F46F31">
        <w:t>•</w:t>
      </w:r>
      <w:r w:rsidRPr="00F46F31">
        <w:tab/>
        <w:t xml:space="preserve">увеличением количества решений о привлечении к налоговой ответственности, предусмотренной </w:t>
      </w:r>
      <w:r w:rsidR="00A67257" w:rsidRPr="00F46F31">
        <w:t xml:space="preserve">ст. </w:t>
      </w:r>
      <w:r w:rsidRPr="00F46F31">
        <w:t>129.4 НК РФ в связи с формированием и направлением извещения;</w:t>
      </w:r>
    </w:p>
    <w:p w14:paraId="55688C47" w14:textId="77777777" w:rsidR="00A67257" w:rsidRPr="00F46F31" w:rsidRDefault="00742A00" w:rsidP="006B6502">
      <w:pPr>
        <w:ind w:firstLine="709"/>
        <w:jc w:val="both"/>
      </w:pPr>
      <w:r w:rsidRPr="00F46F31">
        <w:t>•</w:t>
      </w:r>
      <w:r w:rsidRPr="00F46F31">
        <w:tab/>
        <w:t xml:space="preserve">назначением налоговых проверок цен на основании извещений территориальных налоговых органов, в которых содержится неполная либо некорректная информация о характере сделки, функциях ее участников и иных имеющих значение обстоятельствах. </w:t>
      </w:r>
      <w:r w:rsidR="00A67257" w:rsidRPr="00F46F31">
        <w:t>В связи с этим предлагаем сохранить текущую редакцию п. 6 ст. 105.16 НК РФ и п. 1 ст. 105.17 НК РФ</w:t>
      </w:r>
    </w:p>
    <w:p w14:paraId="15145246" w14:textId="7FF619CF" w:rsidR="00B65CCE" w:rsidRPr="00F46F31" w:rsidRDefault="00B65CCE" w:rsidP="00B65C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31">
        <w:rPr>
          <w:rFonts w:ascii="Times New Roman" w:hAnsi="Times New Roman"/>
          <w:sz w:val="28"/>
          <w:szCs w:val="28"/>
        </w:rPr>
        <w:t xml:space="preserve">Законопроектом предлагается существенно пролонгировать </w:t>
      </w:r>
      <w:proofErr w:type="spellStart"/>
      <w:r w:rsidRPr="00F46F31">
        <w:rPr>
          <w:rFonts w:ascii="Times New Roman" w:hAnsi="Times New Roman"/>
          <w:sz w:val="28"/>
          <w:szCs w:val="28"/>
        </w:rPr>
        <w:t>пресекательные</w:t>
      </w:r>
      <w:proofErr w:type="spellEnd"/>
      <w:r w:rsidRPr="00F46F31">
        <w:rPr>
          <w:rFonts w:ascii="Times New Roman" w:hAnsi="Times New Roman"/>
          <w:sz w:val="28"/>
          <w:szCs w:val="28"/>
        </w:rPr>
        <w:t xml:space="preserve"> сроки для открытия специальных проверок цен (на два календарных года) в случае, если налогоплательщик обращался с заявлением о заключении соглашения о ценообразовании и в заключении такого соглашения было отказано. </w:t>
      </w:r>
    </w:p>
    <w:p w14:paraId="47A50BEA" w14:textId="77777777" w:rsidR="00B65CCE" w:rsidRPr="00F46F31" w:rsidRDefault="00B65CCE" w:rsidP="00B65CCE">
      <w:pPr>
        <w:ind w:firstLine="708"/>
        <w:jc w:val="both"/>
      </w:pPr>
      <w:r w:rsidRPr="00F46F31">
        <w:t xml:space="preserve">При этом не делается различия в пролонгации срока между соглашениями с участием компетентных органов иностранного государства и без такого участия. Между тем максимальный срок рассмотрения указанных заявлений о заключении соглашения отличается в три раза (27 месяцев и 9 месяцев, соответственно). Это ставит налогоплательщиков в неравное положение. </w:t>
      </w:r>
    </w:p>
    <w:p w14:paraId="21C6EA99" w14:textId="77777777" w:rsidR="00B65CCE" w:rsidRPr="00F46F31" w:rsidRDefault="00B65CCE" w:rsidP="00B65CCE">
      <w:pPr>
        <w:ind w:firstLine="708"/>
        <w:jc w:val="both"/>
      </w:pPr>
      <w:r w:rsidRPr="00F46F31">
        <w:t xml:space="preserve">Предлагаемая законопроектом длительная (на два календарных года) пролонгация </w:t>
      </w:r>
      <w:proofErr w:type="spellStart"/>
      <w:r w:rsidRPr="00F46F31">
        <w:t>пресекательного</w:t>
      </w:r>
      <w:proofErr w:type="spellEnd"/>
      <w:r w:rsidRPr="00F46F31">
        <w:t xml:space="preserve"> срока для открытия специальной проверки цен сама по себе ухудшает положения налогоплательщика, который добровольно пришел с предложением заключить Соглашение о ценообразовании и раскрывает информацию налоговому органу, и будет </w:t>
      </w:r>
      <w:proofErr w:type="spellStart"/>
      <w:r w:rsidRPr="00F46F31">
        <w:t>демотивировать</w:t>
      </w:r>
      <w:proofErr w:type="spellEnd"/>
      <w:r w:rsidRPr="00F46F31">
        <w:t xml:space="preserve"> налогоплательщиков к заключению таких соглашений.</w:t>
      </w:r>
    </w:p>
    <w:p w14:paraId="6722BA35" w14:textId="3ADC33E2" w:rsidR="00742A00" w:rsidRPr="00F46F31" w:rsidRDefault="00B65CCE" w:rsidP="00B65CCE">
      <w:pPr>
        <w:ind w:firstLine="708"/>
        <w:jc w:val="both"/>
      </w:pPr>
      <w:r w:rsidRPr="00F46F31">
        <w:t>П</w:t>
      </w:r>
      <w:r w:rsidR="00742A00" w:rsidRPr="00F46F31">
        <w:t xml:space="preserve">редлагаем установить срок для назначения проверки цен в течение </w:t>
      </w:r>
      <w:r w:rsidR="00D80B0B" w:rsidRPr="00F46F31">
        <w:t xml:space="preserve">трех </w:t>
      </w:r>
      <w:r w:rsidR="00742A00" w:rsidRPr="00F46F31">
        <w:t xml:space="preserve">месяцев с момента вынесения решения об отказе </w:t>
      </w:r>
      <w:r w:rsidR="006230D7" w:rsidRPr="00F46F31">
        <w:t>в</w:t>
      </w:r>
      <w:r w:rsidR="00742A00" w:rsidRPr="00F46F31">
        <w:t xml:space="preserve"> </w:t>
      </w:r>
      <w:r w:rsidR="006230D7" w:rsidRPr="00F46F31">
        <w:t xml:space="preserve">заключении </w:t>
      </w:r>
      <w:r w:rsidR="00742A00" w:rsidRPr="00F46F31">
        <w:t xml:space="preserve">соглашения о </w:t>
      </w:r>
      <w:r w:rsidR="00742A00" w:rsidRPr="00F46F31">
        <w:lastRenderedPageBreak/>
        <w:t>ценообразовании и оставить без изменения период, в отношении которого может быть вынесено решение о назначении проверки цен.</w:t>
      </w:r>
    </w:p>
    <w:p w14:paraId="3A4E8029" w14:textId="77777777" w:rsidR="006230D7" w:rsidRPr="00F46F31" w:rsidRDefault="006230D7" w:rsidP="00BC7B58">
      <w:pPr>
        <w:pStyle w:val="a3"/>
        <w:numPr>
          <w:ilvl w:val="0"/>
          <w:numId w:val="1"/>
        </w:numPr>
        <w:ind w:left="0" w:firstLine="709"/>
        <w:jc w:val="both"/>
      </w:pPr>
      <w:r w:rsidRPr="00BC7B58">
        <w:rPr>
          <w:rFonts w:ascii="Times New Roman" w:hAnsi="Times New Roman"/>
          <w:sz w:val="28"/>
          <w:szCs w:val="28"/>
        </w:rPr>
        <w:t>Статья 105.7 была дополнена п. 2.1, предусматривающим возможность применения методов ценообразования в соответствии с НК РФ во внешнеторговой сделке с учетом особенностей, установленных законодательством иностранного государства для аналогов указанных методов, при условии сопоставимости результатов</w:t>
      </w:r>
      <w:r w:rsidR="00896AA9" w:rsidRPr="00BC7B58">
        <w:rPr>
          <w:rFonts w:ascii="Times New Roman" w:hAnsi="Times New Roman"/>
          <w:sz w:val="28"/>
          <w:szCs w:val="28"/>
        </w:rPr>
        <w:t xml:space="preserve"> их применения</w:t>
      </w:r>
      <w:r w:rsidRPr="00BC7B58">
        <w:rPr>
          <w:rFonts w:ascii="Times New Roman" w:hAnsi="Times New Roman"/>
          <w:sz w:val="28"/>
          <w:szCs w:val="28"/>
        </w:rPr>
        <w:t xml:space="preserve">, </w:t>
      </w:r>
      <w:r w:rsidR="00896AA9" w:rsidRPr="00BC7B58">
        <w:rPr>
          <w:rFonts w:ascii="Times New Roman" w:hAnsi="Times New Roman"/>
          <w:sz w:val="28"/>
          <w:szCs w:val="28"/>
        </w:rPr>
        <w:t xml:space="preserve">с </w:t>
      </w:r>
      <w:r w:rsidRPr="00BC7B58">
        <w:rPr>
          <w:rFonts w:ascii="Times New Roman" w:hAnsi="Times New Roman"/>
          <w:sz w:val="28"/>
          <w:szCs w:val="28"/>
        </w:rPr>
        <w:t>результатам</w:t>
      </w:r>
      <w:r w:rsidR="00896AA9" w:rsidRPr="00BC7B58">
        <w:rPr>
          <w:rFonts w:ascii="Times New Roman" w:hAnsi="Times New Roman"/>
          <w:sz w:val="28"/>
          <w:szCs w:val="28"/>
        </w:rPr>
        <w:t>и</w:t>
      </w:r>
      <w:r w:rsidRPr="00BC7B58">
        <w:rPr>
          <w:rFonts w:ascii="Times New Roman" w:hAnsi="Times New Roman"/>
          <w:sz w:val="28"/>
          <w:szCs w:val="28"/>
        </w:rPr>
        <w:t>, полученным</w:t>
      </w:r>
      <w:r w:rsidR="00896AA9" w:rsidRPr="00BC7B58">
        <w:rPr>
          <w:rFonts w:ascii="Times New Roman" w:hAnsi="Times New Roman"/>
          <w:sz w:val="28"/>
          <w:szCs w:val="28"/>
        </w:rPr>
        <w:t>и</w:t>
      </w:r>
      <w:r w:rsidRPr="00BC7B58">
        <w:rPr>
          <w:rFonts w:ascii="Times New Roman" w:hAnsi="Times New Roman"/>
          <w:sz w:val="28"/>
          <w:szCs w:val="28"/>
        </w:rPr>
        <w:t xml:space="preserve"> в результате применения методов ценообразования в соответствии с НК РФ.</w:t>
      </w:r>
    </w:p>
    <w:p w14:paraId="709776DD" w14:textId="77777777" w:rsidR="006230D7" w:rsidRPr="00F46F31" w:rsidRDefault="006230D7" w:rsidP="00BC7B58">
      <w:pPr>
        <w:ind w:firstLine="708"/>
        <w:jc w:val="both"/>
      </w:pPr>
      <w:r w:rsidRPr="00F46F31">
        <w:t>При этом, о</w:t>
      </w:r>
      <w:r w:rsidRPr="00BC7B58">
        <w:t>тсутствует определение что считать сопоставимыми результатом и/или критерии сопоставимости. Принятие предлагаемой редакции законопроекта может привести к невозможности на практике применить методы, не предусмотренные НК РФ.</w:t>
      </w:r>
      <w:r w:rsidRPr="00F46F31">
        <w:t xml:space="preserve"> </w:t>
      </w:r>
      <w:r w:rsidRPr="00BC7B58">
        <w:t>Де-факто зарубежные методы либо не смогут использоваться, т.к. результат будет отличаться либо они и так идентичны российским.</w:t>
      </w:r>
      <w:r w:rsidRPr="00F46F31">
        <w:t xml:space="preserve"> </w:t>
      </w:r>
    </w:p>
    <w:p w14:paraId="7DB7F18B" w14:textId="77777777" w:rsidR="006230D7" w:rsidRPr="00BC7B58" w:rsidRDefault="006230D7" w:rsidP="00BC7B58">
      <w:pPr>
        <w:ind w:firstLine="709"/>
        <w:jc w:val="both"/>
      </w:pPr>
      <w:r w:rsidRPr="00F46F31">
        <w:t>В связи с этим, п</w:t>
      </w:r>
      <w:r w:rsidRPr="00BC7B58">
        <w:t>редлагаем исключить</w:t>
      </w:r>
      <w:r w:rsidR="00896AA9" w:rsidRPr="00BC7B58">
        <w:t xml:space="preserve"> из предлагаемой редакции</w:t>
      </w:r>
      <w:r w:rsidRPr="00BC7B58">
        <w:t xml:space="preserve"> «для аналогов указанных методов, при условии сопоставимости результатов, полученных от применения в соответствующей сделке методов, предусмотренных пунктом 1 настоящей статьи, с результатами применения таких методов с учетом указанных особенностей».</w:t>
      </w:r>
    </w:p>
    <w:p w14:paraId="14BA6C0B" w14:textId="77777777" w:rsidR="006230D7" w:rsidRPr="003F3460" w:rsidRDefault="006230D7" w:rsidP="00896AA9">
      <w:pPr>
        <w:ind w:firstLine="708"/>
        <w:jc w:val="both"/>
      </w:pPr>
    </w:p>
    <w:p w14:paraId="4ECF8FED" w14:textId="77777777" w:rsidR="006A5142" w:rsidRPr="003F3460" w:rsidRDefault="006A5142" w:rsidP="006A5142"/>
    <w:sectPr w:rsidR="006A5142" w:rsidRPr="003F3460" w:rsidSect="00B202AF">
      <w:headerReference w:type="default" r:id="rId8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5841" w14:textId="77777777" w:rsidR="00FC4F64" w:rsidRDefault="00FC4F64" w:rsidP="00BC7B58">
      <w:r>
        <w:separator/>
      </w:r>
    </w:p>
  </w:endnote>
  <w:endnote w:type="continuationSeparator" w:id="0">
    <w:p w14:paraId="608F06AE" w14:textId="77777777" w:rsidR="00FC4F64" w:rsidRDefault="00FC4F64" w:rsidP="00BC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D5CA" w14:textId="77777777" w:rsidR="00FC4F64" w:rsidRDefault="00FC4F64" w:rsidP="00BC7B58">
      <w:r>
        <w:separator/>
      </w:r>
    </w:p>
  </w:footnote>
  <w:footnote w:type="continuationSeparator" w:id="0">
    <w:p w14:paraId="6E7CCFF6" w14:textId="77777777" w:rsidR="00FC4F64" w:rsidRDefault="00FC4F64" w:rsidP="00BC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50551"/>
      <w:docPartObj>
        <w:docPartGallery w:val="Page Numbers (Top of Page)"/>
        <w:docPartUnique/>
      </w:docPartObj>
    </w:sdtPr>
    <w:sdtEndPr/>
    <w:sdtContent>
      <w:p w14:paraId="3E371177" w14:textId="3328A9E9" w:rsidR="00BC7B58" w:rsidRDefault="00BC7B58" w:rsidP="00BC7B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00F"/>
    <w:multiLevelType w:val="hybridMultilevel"/>
    <w:tmpl w:val="8C36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0873"/>
    <w:multiLevelType w:val="hybridMultilevel"/>
    <w:tmpl w:val="DD6ABE26"/>
    <w:lvl w:ilvl="0" w:tplc="673A7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3565C"/>
    <w:multiLevelType w:val="hybridMultilevel"/>
    <w:tmpl w:val="843C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2"/>
    <w:rsid w:val="00121B39"/>
    <w:rsid w:val="001772B3"/>
    <w:rsid w:val="001A3C61"/>
    <w:rsid w:val="003F3460"/>
    <w:rsid w:val="00523AA6"/>
    <w:rsid w:val="006230D7"/>
    <w:rsid w:val="006A5142"/>
    <w:rsid w:val="006B6502"/>
    <w:rsid w:val="006C5C1F"/>
    <w:rsid w:val="00742A00"/>
    <w:rsid w:val="00896AA9"/>
    <w:rsid w:val="00A67257"/>
    <w:rsid w:val="00B202AF"/>
    <w:rsid w:val="00B65CCE"/>
    <w:rsid w:val="00BC7B58"/>
    <w:rsid w:val="00CA0174"/>
    <w:rsid w:val="00CC6892"/>
    <w:rsid w:val="00D80B0B"/>
    <w:rsid w:val="00E82DBC"/>
    <w:rsid w:val="00EC14E1"/>
    <w:rsid w:val="00F21A9D"/>
    <w:rsid w:val="00F46F31"/>
    <w:rsid w:val="00F85DE0"/>
    <w:rsid w:val="00FA1D72"/>
    <w:rsid w:val="00FC35F3"/>
    <w:rsid w:val="00FC4F6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42"/>
    <w:pPr>
      <w:ind w:left="720"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6A51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C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1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30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0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30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0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30D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C7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7B58"/>
  </w:style>
  <w:style w:type="paragraph" w:styleId="ae">
    <w:name w:val="footer"/>
    <w:basedOn w:val="a"/>
    <w:link w:val="af"/>
    <w:uiPriority w:val="99"/>
    <w:unhideWhenUsed/>
    <w:rsid w:val="00BC7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42"/>
    <w:pPr>
      <w:ind w:left="720"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6A51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C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1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30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0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30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0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30D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C7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7B58"/>
  </w:style>
  <w:style w:type="paragraph" w:styleId="ae">
    <w:name w:val="footer"/>
    <w:basedOn w:val="a"/>
    <w:link w:val="af"/>
    <w:uiPriority w:val="99"/>
    <w:unhideWhenUsed/>
    <w:rsid w:val="00BC7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maria</dc:creator>
  <cp:lastModifiedBy>1</cp:lastModifiedBy>
  <cp:revision>2</cp:revision>
  <dcterms:created xsi:type="dcterms:W3CDTF">2020-04-21T07:24:00Z</dcterms:created>
  <dcterms:modified xsi:type="dcterms:W3CDTF">2020-04-21T07:24:00Z</dcterms:modified>
</cp:coreProperties>
</file>