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05" w:rsidRDefault="00A34928">
      <w:pPr>
        <w:jc w:val="right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 xml:space="preserve"> </w:t>
      </w:r>
    </w:p>
    <w:p w:rsidR="00570F05" w:rsidRPr="007F1A65" w:rsidRDefault="00A34928">
      <w:pPr>
        <w:jc w:val="center"/>
        <w:rPr>
          <w:b/>
          <w:sz w:val="28"/>
          <w:szCs w:val="28"/>
        </w:rPr>
      </w:pPr>
      <w:r w:rsidRPr="007F1A65">
        <w:rPr>
          <w:b/>
          <w:sz w:val="28"/>
          <w:szCs w:val="28"/>
        </w:rPr>
        <w:t>Доклад</w:t>
      </w:r>
    </w:p>
    <w:p w:rsidR="00570F05" w:rsidRPr="007F1A65" w:rsidRDefault="00A3492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7F1A65">
        <w:rPr>
          <w:rFonts w:eastAsia="Calibri"/>
          <w:b/>
          <w:sz w:val="28"/>
          <w:szCs w:val="28"/>
          <w:lang w:eastAsia="en-US"/>
        </w:rPr>
        <w:t xml:space="preserve">на совместном заседании Комитета ТПП РФ по предпринимательству в здравоохранении и медицинской промышленности, Комиссии РСПП по индустрии здоровья, Комиссии РСПП по фармацевтической и медицинской промышленности и Координационного Совета при Минздраве России </w:t>
      </w:r>
    </w:p>
    <w:p w:rsidR="00570F05" w:rsidRPr="007F1A65" w:rsidRDefault="00A3492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7F1A65">
        <w:rPr>
          <w:rFonts w:eastAsia="Calibri"/>
          <w:b/>
          <w:sz w:val="28"/>
          <w:szCs w:val="28"/>
          <w:lang w:eastAsia="en-US"/>
        </w:rPr>
        <w:t>на тему:</w:t>
      </w:r>
    </w:p>
    <w:p w:rsidR="00570F05" w:rsidRPr="007F1A65" w:rsidRDefault="00A34928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7F1A65">
        <w:rPr>
          <w:rFonts w:eastAsia="Calibri"/>
          <w:b/>
          <w:sz w:val="28"/>
          <w:szCs w:val="28"/>
          <w:lang w:eastAsia="en-US"/>
        </w:rPr>
        <w:t>«Актуальные вопросы осуществления закупок лекарственных препаратов и медицинских изделий для государственных и муниципальных нужд»</w:t>
      </w:r>
    </w:p>
    <w:p w:rsidR="00570F05" w:rsidRPr="007F1A65" w:rsidRDefault="00570F05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570F05" w:rsidRPr="007F1A65" w:rsidRDefault="00A34928">
      <w:pPr>
        <w:autoSpaceDE/>
        <w:autoSpaceDN/>
        <w:ind w:left="284" w:hanging="284"/>
        <w:rPr>
          <w:rFonts w:eastAsia="Calibri"/>
          <w:sz w:val="28"/>
          <w:szCs w:val="28"/>
          <w:lang w:eastAsia="en-US"/>
        </w:rPr>
      </w:pPr>
      <w:r w:rsidRPr="007F1A65">
        <w:rPr>
          <w:rFonts w:eastAsia="Calibri"/>
          <w:sz w:val="28"/>
          <w:szCs w:val="28"/>
          <w:lang w:eastAsia="en-US"/>
        </w:rPr>
        <w:t xml:space="preserve">     6 июня  2017 г.                            </w:t>
      </w:r>
      <w:r w:rsidRPr="007F1A65">
        <w:rPr>
          <w:rFonts w:eastAsia="Calibri"/>
          <w:sz w:val="28"/>
          <w:szCs w:val="28"/>
          <w:lang w:eastAsia="en-US"/>
        </w:rPr>
        <w:tab/>
      </w:r>
      <w:r w:rsid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  <w:t>г. Москва</w:t>
      </w:r>
    </w:p>
    <w:p w:rsidR="00570F05" w:rsidRPr="007F1A65" w:rsidRDefault="00A34928">
      <w:pPr>
        <w:autoSpaceDE/>
        <w:autoSpaceDN/>
        <w:ind w:left="4962" w:hanging="5388"/>
        <w:jc w:val="both"/>
        <w:rPr>
          <w:rFonts w:eastAsia="Calibri"/>
          <w:sz w:val="28"/>
          <w:szCs w:val="28"/>
          <w:lang w:eastAsia="en-US"/>
        </w:rPr>
      </w:pPr>
      <w:r w:rsidRP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</w:r>
      <w:r w:rsidRPr="007F1A65">
        <w:rPr>
          <w:rFonts w:eastAsia="Calibri"/>
          <w:sz w:val="28"/>
          <w:szCs w:val="28"/>
          <w:lang w:eastAsia="en-US"/>
        </w:rPr>
        <w:tab/>
      </w:r>
    </w:p>
    <w:p w:rsidR="00570F05" w:rsidRPr="007F1A65" w:rsidRDefault="00A34928">
      <w:pPr>
        <w:jc w:val="center"/>
        <w:rPr>
          <w:sz w:val="28"/>
          <w:szCs w:val="28"/>
        </w:rPr>
      </w:pPr>
      <w:r w:rsidRPr="007F1A65">
        <w:rPr>
          <w:rFonts w:eastAsia="Calibri"/>
          <w:i/>
          <w:sz w:val="28"/>
          <w:szCs w:val="28"/>
          <w:lang w:eastAsia="en-US"/>
        </w:rPr>
        <w:tab/>
      </w:r>
      <w:r w:rsidRPr="007F1A65">
        <w:rPr>
          <w:rFonts w:eastAsia="Calibri"/>
          <w:i/>
          <w:sz w:val="28"/>
          <w:szCs w:val="28"/>
          <w:lang w:eastAsia="en-US"/>
        </w:rPr>
        <w:tab/>
      </w:r>
      <w:r w:rsidRPr="007F1A65">
        <w:rPr>
          <w:rFonts w:eastAsia="Calibri"/>
          <w:i/>
          <w:sz w:val="28"/>
          <w:szCs w:val="28"/>
          <w:lang w:eastAsia="en-US"/>
        </w:rPr>
        <w:tab/>
      </w:r>
      <w:r w:rsidRPr="007F1A65">
        <w:rPr>
          <w:rFonts w:eastAsia="Calibri"/>
          <w:i/>
          <w:sz w:val="28"/>
          <w:szCs w:val="28"/>
          <w:lang w:eastAsia="en-US"/>
        </w:rPr>
        <w:tab/>
      </w:r>
    </w:p>
    <w:p w:rsidR="00570F05" w:rsidRPr="007F1A65" w:rsidRDefault="00A34928">
      <w:pPr>
        <w:jc w:val="both"/>
        <w:rPr>
          <w:sz w:val="28"/>
          <w:szCs w:val="28"/>
        </w:rPr>
      </w:pPr>
      <w:r w:rsidRPr="007F1A65">
        <w:rPr>
          <w:sz w:val="28"/>
          <w:szCs w:val="28"/>
        </w:rPr>
        <w:tab/>
      </w:r>
      <w:proofErr w:type="gramStart"/>
      <w:r w:rsidRPr="007F1A65">
        <w:rPr>
          <w:sz w:val="28"/>
          <w:szCs w:val="28"/>
        </w:rPr>
        <w:t>Анализ правоприменительной практики федеральных законов от 05.02.2013г. №44-ФЗ «О контрактной системе в сфере закупок товаров, работ, услуг для обеспечения государственных и муниципальных нужд» и от 18.07.2011г. №223-ФЗ «О закупках товаров, работ, услуг отдельными видами юридических лиц» и их влияния на повышение доступности, качества и безопасности лекарственных препаратов и медицинских изделий для нужд здравоохранения Российской Федерации показывает, что несмотря</w:t>
      </w:r>
      <w:proofErr w:type="gramEnd"/>
      <w:r w:rsidRPr="007F1A65">
        <w:rPr>
          <w:sz w:val="28"/>
          <w:szCs w:val="28"/>
        </w:rPr>
        <w:t xml:space="preserve"> на трудности  с финансированием, лечебно-профилактические учреждения и органы здравоохранения РФ не всегда экономно расходуют выделяемые им бюджетные средства.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В 2016 году и первом квартале 2017 года участились случаи нарушения заказчиком правил организации подготовки и проведения конкурсных процедур на закупку медицинской продукции. Включение в состав одного лота продукции различных видов, излишняя конкретизация лотов, составление технического задания и условий исполнения контракта под конкретного поставщика становится нормой, что приводит к ограничению допуска к закупкам большого числа компаний и, как следствие, не эффективному использованию бюджетных средств, а также снижению качества медицинской помощи. Наиболее характерные примеры: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В 2017 году Минздрав Хабаровского края провёл торги на закупку генно-инженерных инсулинов человека (извещения №№ 0122200002517001425; 0122200002517001361; 0122200002517001330; 0122200002517001161; 0122200002517001103) техническое задание в которых было сформулировано под торговое наименование, в результате чего контракт был заключен с единственным участником, по начальной цене.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В 2016 году Ленинградский областной онкологический диспансер осуществил закупки </w:t>
      </w:r>
      <w:proofErr w:type="spellStart"/>
      <w:r w:rsidRPr="007F1A65">
        <w:rPr>
          <w:sz w:val="28"/>
          <w:szCs w:val="28"/>
        </w:rPr>
        <w:t>таргетных</w:t>
      </w:r>
      <w:proofErr w:type="spellEnd"/>
      <w:r w:rsidRPr="007F1A65">
        <w:rPr>
          <w:sz w:val="28"/>
          <w:szCs w:val="28"/>
        </w:rPr>
        <w:t xml:space="preserve"> препаратов на сумму около 80 </w:t>
      </w:r>
      <w:proofErr w:type="gramStart"/>
      <w:r w:rsidRPr="007F1A65">
        <w:rPr>
          <w:sz w:val="28"/>
          <w:szCs w:val="28"/>
        </w:rPr>
        <w:t>млн</w:t>
      </w:r>
      <w:proofErr w:type="gramEnd"/>
      <w:r w:rsidRPr="007F1A65">
        <w:rPr>
          <w:sz w:val="28"/>
          <w:szCs w:val="28"/>
        </w:rPr>
        <w:t xml:space="preserve"> рублей (</w:t>
      </w:r>
      <w:proofErr w:type="spellStart"/>
      <w:r w:rsidRPr="007F1A65">
        <w:rPr>
          <w:sz w:val="28"/>
          <w:szCs w:val="28"/>
        </w:rPr>
        <w:t>Бевацизумаб</w:t>
      </w:r>
      <w:proofErr w:type="spellEnd"/>
      <w:r w:rsidRPr="007F1A65">
        <w:rPr>
          <w:sz w:val="28"/>
          <w:szCs w:val="28"/>
        </w:rPr>
        <w:t xml:space="preserve">, </w:t>
      </w:r>
      <w:proofErr w:type="spellStart"/>
      <w:r w:rsidRPr="007F1A65">
        <w:rPr>
          <w:sz w:val="28"/>
          <w:szCs w:val="28"/>
        </w:rPr>
        <w:t>Цетуксимаб</w:t>
      </w:r>
      <w:proofErr w:type="spellEnd"/>
      <w:r w:rsidRPr="007F1A65">
        <w:rPr>
          <w:sz w:val="28"/>
          <w:szCs w:val="28"/>
        </w:rPr>
        <w:t xml:space="preserve">, </w:t>
      </w:r>
      <w:proofErr w:type="spellStart"/>
      <w:r w:rsidRPr="007F1A65">
        <w:rPr>
          <w:sz w:val="28"/>
          <w:szCs w:val="28"/>
        </w:rPr>
        <w:t>Панитумумаб</w:t>
      </w:r>
      <w:proofErr w:type="spellEnd"/>
      <w:r w:rsidRPr="007F1A65">
        <w:rPr>
          <w:sz w:val="28"/>
          <w:szCs w:val="28"/>
        </w:rPr>
        <w:t xml:space="preserve"> – согласно сайту – </w:t>
      </w:r>
      <w:r w:rsidRPr="007F1A65">
        <w:rPr>
          <w:sz w:val="28"/>
          <w:szCs w:val="28"/>
          <w:lang w:val="en-US"/>
        </w:rPr>
        <w:t>http</w:t>
      </w:r>
      <w:r w:rsidRPr="007F1A65">
        <w:rPr>
          <w:sz w:val="28"/>
          <w:szCs w:val="28"/>
        </w:rPr>
        <w:t>: //</w:t>
      </w:r>
      <w:r w:rsidRPr="007F1A65">
        <w:rPr>
          <w:sz w:val="28"/>
          <w:szCs w:val="28"/>
          <w:lang w:val="en-US"/>
        </w:rPr>
        <w:t>www</w:t>
      </w:r>
      <w:r w:rsidRPr="007F1A65">
        <w:rPr>
          <w:sz w:val="28"/>
          <w:szCs w:val="28"/>
        </w:rPr>
        <w:t>.</w:t>
      </w:r>
      <w:proofErr w:type="spellStart"/>
      <w:r w:rsidRPr="007F1A65">
        <w:rPr>
          <w:sz w:val="28"/>
          <w:szCs w:val="28"/>
          <w:lang w:val="en-US"/>
        </w:rPr>
        <w:t>zakupki</w:t>
      </w:r>
      <w:proofErr w:type="spellEnd"/>
      <w:r w:rsidRPr="007F1A65">
        <w:rPr>
          <w:sz w:val="28"/>
          <w:szCs w:val="28"/>
        </w:rPr>
        <w:t>.</w:t>
      </w:r>
      <w:proofErr w:type="spellStart"/>
      <w:r w:rsidRPr="007F1A65">
        <w:rPr>
          <w:sz w:val="28"/>
          <w:szCs w:val="28"/>
          <w:lang w:val="en-US"/>
        </w:rPr>
        <w:t>gov</w:t>
      </w:r>
      <w:proofErr w:type="spellEnd"/>
      <w:r w:rsidRPr="007F1A65">
        <w:rPr>
          <w:sz w:val="28"/>
          <w:szCs w:val="28"/>
        </w:rPr>
        <w:t>.</w:t>
      </w:r>
      <w:proofErr w:type="spellStart"/>
      <w:r w:rsidRPr="007F1A65">
        <w:rPr>
          <w:sz w:val="28"/>
          <w:szCs w:val="28"/>
          <w:lang w:val="en-US"/>
        </w:rPr>
        <w:t>ru</w:t>
      </w:r>
      <w:proofErr w:type="spellEnd"/>
      <w:r w:rsidRPr="007F1A65">
        <w:rPr>
          <w:sz w:val="28"/>
          <w:szCs w:val="28"/>
        </w:rPr>
        <w:t xml:space="preserve">), что хватило для лечения 96 пациентов. Если бы препараты были закуплены с учетом перераспределения между ними согласно российским и </w:t>
      </w:r>
      <w:r w:rsidRPr="007F1A65">
        <w:rPr>
          <w:sz w:val="28"/>
          <w:szCs w:val="28"/>
        </w:rPr>
        <w:lastRenderedPageBreak/>
        <w:t xml:space="preserve">международным рекомендациям, то можно было бы пролечить ещё 114 пациентов </w:t>
      </w:r>
      <w:proofErr w:type="spellStart"/>
      <w:r w:rsidRPr="007F1A65">
        <w:rPr>
          <w:sz w:val="28"/>
          <w:szCs w:val="28"/>
        </w:rPr>
        <w:t>таргетными</w:t>
      </w:r>
      <w:proofErr w:type="spellEnd"/>
      <w:r w:rsidRPr="007F1A65">
        <w:rPr>
          <w:sz w:val="28"/>
          <w:szCs w:val="28"/>
        </w:rPr>
        <w:t xml:space="preserve"> и базовыми лекарствами.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5 апреля 2017 года  были объявлены торги в форме электронного аукциона на поставку и монтаж оборудования (цифровой рентгеновский аппарат экспертного класса для </w:t>
      </w:r>
      <w:proofErr w:type="spellStart"/>
      <w:r w:rsidRPr="007F1A65">
        <w:rPr>
          <w:sz w:val="28"/>
          <w:szCs w:val="28"/>
        </w:rPr>
        <w:t>скрининговых</w:t>
      </w:r>
      <w:proofErr w:type="spellEnd"/>
      <w:r w:rsidRPr="007F1A65">
        <w:rPr>
          <w:sz w:val="28"/>
          <w:szCs w:val="28"/>
        </w:rPr>
        <w:t xml:space="preserve"> и клинических исследований молочной железы) для нужд Республиканского клинического онкологического диспансера Минздрава Чувашии (извещение № 0815200000117000236). Анализ Технического задания на закупку показал, что заказчик намерен приобрести рентгеновский </w:t>
      </w:r>
      <w:proofErr w:type="spellStart"/>
      <w:r w:rsidRPr="007F1A65">
        <w:rPr>
          <w:sz w:val="28"/>
          <w:szCs w:val="28"/>
        </w:rPr>
        <w:t>маммографический</w:t>
      </w:r>
      <w:proofErr w:type="spellEnd"/>
      <w:r w:rsidRPr="007F1A65">
        <w:rPr>
          <w:sz w:val="28"/>
          <w:szCs w:val="28"/>
        </w:rPr>
        <w:t xml:space="preserve"> аппарат </w:t>
      </w:r>
      <w:proofErr w:type="spellStart"/>
      <w:r w:rsidRPr="007F1A65">
        <w:rPr>
          <w:sz w:val="28"/>
          <w:szCs w:val="28"/>
          <w:lang w:val="en-US"/>
        </w:rPr>
        <w:t>Plammed</w:t>
      </w:r>
      <w:proofErr w:type="spellEnd"/>
      <w:r w:rsidRPr="007F1A65">
        <w:rPr>
          <w:sz w:val="28"/>
          <w:szCs w:val="28"/>
        </w:rPr>
        <w:t xml:space="preserve"> </w:t>
      </w:r>
      <w:proofErr w:type="spellStart"/>
      <w:r w:rsidRPr="007F1A65">
        <w:rPr>
          <w:sz w:val="28"/>
          <w:szCs w:val="28"/>
          <w:lang w:val="en-US"/>
        </w:rPr>
        <w:t>Clariti</w:t>
      </w:r>
      <w:proofErr w:type="spellEnd"/>
      <w:r w:rsidRPr="007F1A65">
        <w:rPr>
          <w:sz w:val="28"/>
          <w:szCs w:val="28"/>
        </w:rPr>
        <w:t xml:space="preserve"> производства компании "</w:t>
      </w:r>
      <w:proofErr w:type="spellStart"/>
      <w:r w:rsidRPr="007F1A65">
        <w:rPr>
          <w:sz w:val="28"/>
          <w:szCs w:val="28"/>
        </w:rPr>
        <w:t>Планмед</w:t>
      </w:r>
      <w:proofErr w:type="spellEnd"/>
      <w:proofErr w:type="gramStart"/>
      <w:r w:rsidRPr="007F1A65">
        <w:rPr>
          <w:sz w:val="28"/>
          <w:szCs w:val="28"/>
        </w:rPr>
        <w:t xml:space="preserve"> О</w:t>
      </w:r>
      <w:proofErr w:type="gramEnd"/>
      <w:r w:rsidRPr="007F1A65">
        <w:rPr>
          <w:sz w:val="28"/>
          <w:szCs w:val="28"/>
        </w:rPr>
        <w:t xml:space="preserve">й», Финляндия, который не является лучшим на рынке. Аппараты отечественных производителей превосходят его по многим техническим характеристикам и эксплуатационным возможностям, но они не смогли участвовать в аукционе, так как техническое задание сформировано </w:t>
      </w:r>
      <w:proofErr w:type="gramStart"/>
      <w:r w:rsidRPr="007F1A65">
        <w:rPr>
          <w:sz w:val="28"/>
          <w:szCs w:val="28"/>
        </w:rPr>
        <w:t>под</w:t>
      </w:r>
      <w:proofErr w:type="gramEnd"/>
      <w:r w:rsidRPr="007F1A65">
        <w:rPr>
          <w:sz w:val="28"/>
          <w:szCs w:val="28"/>
        </w:rPr>
        <w:t xml:space="preserve"> конкретный импортный </w:t>
      </w:r>
      <w:proofErr w:type="spellStart"/>
      <w:r w:rsidRPr="007F1A65">
        <w:rPr>
          <w:sz w:val="28"/>
          <w:szCs w:val="28"/>
        </w:rPr>
        <w:t>маммограф</w:t>
      </w:r>
      <w:proofErr w:type="spellEnd"/>
      <w:r w:rsidRPr="007F1A65">
        <w:rPr>
          <w:sz w:val="28"/>
          <w:szCs w:val="28"/>
        </w:rPr>
        <w:t xml:space="preserve">.  Потребность России в </w:t>
      </w:r>
      <w:proofErr w:type="spellStart"/>
      <w:r w:rsidRPr="007F1A65">
        <w:rPr>
          <w:sz w:val="28"/>
          <w:szCs w:val="28"/>
        </w:rPr>
        <w:t>маммографических</w:t>
      </w:r>
      <w:proofErr w:type="spellEnd"/>
      <w:r w:rsidRPr="007F1A65">
        <w:rPr>
          <w:sz w:val="28"/>
          <w:szCs w:val="28"/>
        </w:rPr>
        <w:t xml:space="preserve"> аппаратах составляет около 2500 шт., на приобретение которых требуется более 45 </w:t>
      </w:r>
      <w:proofErr w:type="gramStart"/>
      <w:r w:rsidRPr="007F1A65">
        <w:rPr>
          <w:sz w:val="28"/>
          <w:szCs w:val="28"/>
        </w:rPr>
        <w:t>млрд</w:t>
      </w:r>
      <w:proofErr w:type="gramEnd"/>
      <w:r w:rsidRPr="007F1A65">
        <w:rPr>
          <w:sz w:val="28"/>
          <w:szCs w:val="28"/>
        </w:rPr>
        <w:t xml:space="preserve"> руб. Учитывая, что стоимость российских аппаратов на 15-20 процентов ниже, только на закупки </w:t>
      </w:r>
      <w:proofErr w:type="spellStart"/>
      <w:r w:rsidRPr="007F1A65">
        <w:rPr>
          <w:sz w:val="28"/>
          <w:szCs w:val="28"/>
        </w:rPr>
        <w:t>маммографов</w:t>
      </w:r>
      <w:proofErr w:type="spellEnd"/>
      <w:r w:rsidRPr="007F1A65">
        <w:rPr>
          <w:sz w:val="28"/>
          <w:szCs w:val="28"/>
        </w:rPr>
        <w:t xml:space="preserve"> можно сэкономить от 7 до 9 млрд руб. Это можно наблюдать по результатам анализа 15 аукционов на закупку </w:t>
      </w:r>
      <w:proofErr w:type="spellStart"/>
      <w:r w:rsidRPr="007F1A65">
        <w:rPr>
          <w:sz w:val="28"/>
          <w:szCs w:val="28"/>
        </w:rPr>
        <w:t>рентгенаппаратуры</w:t>
      </w:r>
      <w:proofErr w:type="spellEnd"/>
      <w:r w:rsidRPr="007F1A65">
        <w:rPr>
          <w:sz w:val="28"/>
          <w:szCs w:val="28"/>
        </w:rPr>
        <w:t xml:space="preserve">, проведённых в 2016-2017 годах, где благодаря введению в технические задания </w:t>
      </w:r>
      <w:proofErr w:type="spellStart"/>
      <w:r w:rsidRPr="007F1A65">
        <w:rPr>
          <w:sz w:val="28"/>
          <w:szCs w:val="28"/>
        </w:rPr>
        <w:t>диагностически</w:t>
      </w:r>
      <w:proofErr w:type="spellEnd"/>
      <w:r w:rsidRPr="007F1A65">
        <w:rPr>
          <w:sz w:val="28"/>
          <w:szCs w:val="28"/>
        </w:rPr>
        <w:t xml:space="preserve"> не значимых параметров, все закупки проведены у единого поставщика практически по начальной максимальной цене.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Московским здравоохранением в мае 2016 года был объявлен аукцион (извещение № 0173200001416000360) на закупку медицинских изделий на сумму 450,99 </w:t>
      </w:r>
      <w:proofErr w:type="gramStart"/>
      <w:r w:rsidRPr="007F1A65">
        <w:rPr>
          <w:sz w:val="28"/>
          <w:szCs w:val="28"/>
        </w:rPr>
        <w:t>млн</w:t>
      </w:r>
      <w:proofErr w:type="gramEnd"/>
      <w:r w:rsidRPr="007F1A65">
        <w:rPr>
          <w:sz w:val="28"/>
          <w:szCs w:val="28"/>
        </w:rPr>
        <w:t xml:space="preserve"> руб., из них шприцев однократного применения на сумму 293,96  млн руб. В связи с тем, что в лот были включены «защитные позиции», российские производители не смогли участвовать в закупках, снижение цены составило всего 2 процента от начальной максимальной. Учитывая, что участие российских производителей в конкурсах благодаря высокой конкуренции приводит к снижению цены от начальной максимальной на 40-50 процентов, снятие «защитных позиций» позволило бы сэкономить десятки миллионов рублей только на одном аукционе.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 xml:space="preserve">3 мая 2017 года опубликовано извещение № 0173200001417000246 о проведение совместного аукциона в электронной форме Департаментом здравоохранения г. Москвы на поставку расходных материалов для парентерального введения раствора с начальной максимальной ценой  553 600 741,16 руб., в том числе шприцев на сумму 147 445 565 руб. В указанном аукционе прописаны блокирующие позиции импортных производителей </w:t>
      </w:r>
      <w:r w:rsidRPr="007F1A65">
        <w:rPr>
          <w:sz w:val="28"/>
          <w:szCs w:val="28"/>
          <w:lang w:val="en-US"/>
        </w:rPr>
        <w:t>Vogt</w:t>
      </w:r>
      <w:r w:rsidRPr="007F1A65">
        <w:rPr>
          <w:sz w:val="28"/>
          <w:szCs w:val="28"/>
        </w:rPr>
        <w:t xml:space="preserve"> </w:t>
      </w:r>
      <w:r w:rsidRPr="007F1A65">
        <w:rPr>
          <w:sz w:val="28"/>
          <w:szCs w:val="28"/>
          <w:lang w:val="en-US"/>
        </w:rPr>
        <w:t>Medical</w:t>
      </w:r>
      <w:r w:rsidRPr="007F1A65">
        <w:rPr>
          <w:sz w:val="28"/>
          <w:szCs w:val="28"/>
        </w:rPr>
        <w:t xml:space="preserve"> и </w:t>
      </w:r>
      <w:r w:rsidRPr="007F1A65">
        <w:rPr>
          <w:sz w:val="28"/>
          <w:szCs w:val="28"/>
          <w:lang w:val="en-US"/>
        </w:rPr>
        <w:t>B</w:t>
      </w:r>
      <w:r w:rsidRPr="007F1A65">
        <w:rPr>
          <w:sz w:val="28"/>
          <w:szCs w:val="28"/>
        </w:rPr>
        <w:t>.</w:t>
      </w:r>
      <w:proofErr w:type="spellStart"/>
      <w:r w:rsidRPr="007F1A65">
        <w:rPr>
          <w:sz w:val="28"/>
          <w:szCs w:val="28"/>
          <w:lang w:val="en-US"/>
        </w:rPr>
        <w:t>Braum</w:t>
      </w:r>
      <w:proofErr w:type="spellEnd"/>
      <w:r w:rsidRPr="007F1A65">
        <w:rPr>
          <w:sz w:val="28"/>
          <w:szCs w:val="28"/>
        </w:rPr>
        <w:t>, т.е. аукцион</w:t>
      </w:r>
      <w:proofErr w:type="gramEnd"/>
      <w:r w:rsidRPr="007F1A65">
        <w:rPr>
          <w:sz w:val="28"/>
          <w:szCs w:val="28"/>
        </w:rPr>
        <w:t xml:space="preserve"> </w:t>
      </w:r>
      <w:proofErr w:type="gramStart"/>
      <w:r w:rsidRPr="007F1A65">
        <w:rPr>
          <w:sz w:val="28"/>
          <w:szCs w:val="28"/>
        </w:rPr>
        <w:t>прописан</w:t>
      </w:r>
      <w:proofErr w:type="gramEnd"/>
      <w:r w:rsidRPr="007F1A65">
        <w:rPr>
          <w:sz w:val="28"/>
          <w:szCs w:val="28"/>
        </w:rPr>
        <w:t xml:space="preserve"> под конкретного поставщика и отечественная продукция не сможет быть представлена в аукционе. Заранее </w:t>
      </w:r>
      <w:r w:rsidRPr="007F1A65">
        <w:rPr>
          <w:sz w:val="28"/>
          <w:szCs w:val="28"/>
        </w:rPr>
        <w:lastRenderedPageBreak/>
        <w:t xml:space="preserve">можно предсказать (по опыту предыдущих торгов), что закупка шприцев обойдётся бюджету г. Москвы на 80-90 </w:t>
      </w:r>
      <w:proofErr w:type="gramStart"/>
      <w:r w:rsidRPr="007F1A65">
        <w:rPr>
          <w:sz w:val="28"/>
          <w:szCs w:val="28"/>
        </w:rPr>
        <w:t>млн</w:t>
      </w:r>
      <w:proofErr w:type="gramEnd"/>
      <w:r w:rsidRPr="007F1A65">
        <w:rPr>
          <w:sz w:val="28"/>
          <w:szCs w:val="28"/>
        </w:rPr>
        <w:t xml:space="preserve"> руб. дороже.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Высокими темпами развиваются предприятия, выпускающие конкурентоспособную одноразовую медицинскую одежду. В прошлом году ими произведено продукции на 3,5 </w:t>
      </w:r>
      <w:proofErr w:type="gramStart"/>
      <w:r w:rsidRPr="007F1A65">
        <w:rPr>
          <w:sz w:val="28"/>
          <w:szCs w:val="28"/>
        </w:rPr>
        <w:t>млрд</w:t>
      </w:r>
      <w:proofErr w:type="gramEnd"/>
      <w:r w:rsidRPr="007F1A65">
        <w:rPr>
          <w:sz w:val="28"/>
          <w:szCs w:val="28"/>
        </w:rPr>
        <w:t xml:space="preserve"> руб., что составило  более 70 процентов российского рынка. Продукция соответствует национальным и европейским стандартам. </w:t>
      </w:r>
      <w:proofErr w:type="gramStart"/>
      <w:r w:rsidRPr="007F1A65">
        <w:rPr>
          <w:sz w:val="28"/>
          <w:szCs w:val="28"/>
        </w:rPr>
        <w:t>Однако и они, по указанным выше причинам, не смогли принять участие в 30 процентах проведенных аукционов, в которых снижение цены закупки от начальной максимально не превышало 5 процентов.</w:t>
      </w:r>
      <w:proofErr w:type="gramEnd"/>
      <w:r w:rsidRPr="007F1A65">
        <w:rPr>
          <w:sz w:val="28"/>
          <w:szCs w:val="28"/>
        </w:rPr>
        <w:t xml:space="preserve"> В аукционах, где принимали участие российские компании,  цены закупки медицинской одежды снижались на 30 и более процентов. </w:t>
      </w:r>
      <w:proofErr w:type="gramStart"/>
      <w:r w:rsidRPr="007F1A65">
        <w:rPr>
          <w:sz w:val="28"/>
          <w:szCs w:val="28"/>
        </w:rPr>
        <w:t>Анализ семи аукционов из  разных регионов (Северо-западного, Приволжского, Северо-Кавказского и Центрального федеральных округов) показал, что благодаря включению в технические задания «защитных позиций» в виде продукции зарубежного производства снижение цены закупки от начальной максимальной находилось в пределах от 0 до 5 процентов.</w:t>
      </w:r>
      <w:proofErr w:type="gramEnd"/>
      <w:r w:rsidRPr="007F1A65">
        <w:rPr>
          <w:sz w:val="28"/>
          <w:szCs w:val="28"/>
        </w:rPr>
        <w:t xml:space="preserve"> В 5 других аукционах, где не было «защитных позиций», цена закупки составила 41 процент </w:t>
      </w:r>
      <w:proofErr w:type="gramStart"/>
      <w:r w:rsidRPr="007F1A65">
        <w:rPr>
          <w:sz w:val="28"/>
          <w:szCs w:val="28"/>
        </w:rPr>
        <w:t>от</w:t>
      </w:r>
      <w:proofErr w:type="gramEnd"/>
      <w:r w:rsidRPr="007F1A65">
        <w:rPr>
          <w:sz w:val="28"/>
          <w:szCs w:val="28"/>
        </w:rPr>
        <w:t xml:space="preserve"> начальной, так как в них участвовали отечественные производители.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Попытки обжаловать решения заказчика не всегда дают положительные результаты. В связи с тем, что в нормативных правовых актах, регулирующих организацию и проведение торгов, недостаточно четко прописаны требования к составу технических заданий, описанию товара, формированию лота, порядку присвоения товарам кодов по новому классификатору продукции ОКПД</w:t>
      </w:r>
      <w:proofErr w:type="gramStart"/>
      <w:r w:rsidRPr="007F1A65">
        <w:rPr>
          <w:sz w:val="28"/>
          <w:szCs w:val="28"/>
        </w:rPr>
        <w:t>2</w:t>
      </w:r>
      <w:proofErr w:type="gramEnd"/>
      <w:r w:rsidRPr="007F1A65">
        <w:rPr>
          <w:sz w:val="28"/>
          <w:szCs w:val="28"/>
        </w:rPr>
        <w:t>, отсутствуют инструменты борьбы с демпингом, в случае возникновения спорных ситуаций специалисты антимонопольной службы часто принимают сторону заказчика. Из-за отсутствия судебной практики иногда по типовым спорам принимаются диаметрально противоположные решения. В результате, ущерб наносится: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- здравоохранению, которое приобретает лекарства и технику по завышенным ценам;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 промышленности, которая  не реализует свои возможности;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 - бюджету  государства, которое вкладывает средства и в развитие отрасли, и в развитие здравоохранения.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Оправдывая позицию нецелесообразности поддержки отечественной фармацевтической и медицинской промышленности при закупках медицинской продукции для государственных и муниципальных нужд, некоторые специалисты высказывают опасения о неизбежности снижения конкуренции на российском рынке лекарств и техники со всеми вытекающими из этого последствиями. Однако, как показывает анализ</w:t>
      </w:r>
      <w:r w:rsidR="00667B01">
        <w:rPr>
          <w:sz w:val="28"/>
          <w:szCs w:val="28"/>
        </w:rPr>
        <w:t>,</w:t>
      </w:r>
      <w:r w:rsidRPr="007F1A65">
        <w:rPr>
          <w:sz w:val="28"/>
          <w:szCs w:val="28"/>
        </w:rPr>
        <w:t xml:space="preserve"> большей частью наблюдается обратная картина. Дело в том, что реализация уже принятых государственных программ развития </w:t>
      </w:r>
      <w:r w:rsidRPr="007F1A65">
        <w:rPr>
          <w:sz w:val="28"/>
          <w:szCs w:val="28"/>
        </w:rPr>
        <w:lastRenderedPageBreak/>
        <w:t xml:space="preserve">фармацевтической и медицинской промышленности, а также решений Правительства Российской Федерации по поддержке отрасли  способствуют активной локализации современных видов медицинской продукции широкой номенклатуры, как </w:t>
      </w:r>
      <w:proofErr w:type="gramStart"/>
      <w:r w:rsidRPr="007F1A65">
        <w:rPr>
          <w:sz w:val="28"/>
          <w:szCs w:val="28"/>
        </w:rPr>
        <w:t>российскими</w:t>
      </w:r>
      <w:proofErr w:type="gramEnd"/>
      <w:r w:rsidRPr="007F1A65">
        <w:rPr>
          <w:sz w:val="28"/>
          <w:szCs w:val="28"/>
        </w:rPr>
        <w:t xml:space="preserve"> так и зарубежными компаниями, между которыми развёртывается конкурентная борьба за рынок. В последнее время в конкурсах на закупку лекарств и медицинских изделий участвуют от 3 до 10 компаний с равноценными по качеству и эффективности продуктами. В частности, в 2016 году на аукционах генно-инженерные инсулины предлагали 7 фирм, в том числе 4 российские. Одноразовую медицинскую одежду – 7 фирм, в том числе 5 российских. Шприцы однократного применения – более 20 фирм, в том числе 10 российских. </w:t>
      </w:r>
      <w:proofErr w:type="spellStart"/>
      <w:r w:rsidRPr="007F1A65">
        <w:rPr>
          <w:sz w:val="28"/>
          <w:szCs w:val="28"/>
        </w:rPr>
        <w:t>Ренгенаппараты</w:t>
      </w:r>
      <w:proofErr w:type="spellEnd"/>
      <w:r w:rsidRPr="007F1A65">
        <w:rPr>
          <w:sz w:val="28"/>
          <w:szCs w:val="28"/>
        </w:rPr>
        <w:t xml:space="preserve"> – 20 фирм, в том числе 12 российских. Значительная часть лекарственных препаратов из перечня ЖНВЛП может производиться на 3-5 российских заводах в объёмах, достаточных для удовлетворения потребности здравоохранения России. Эти данные свидетельствуют о том, что при соблюдении требований к организации и проведению конкурсов на закупку лекарственных средств и медицинских изделий, установленных законодательством Российской Федерации и правительственными постановлениями, за счет имеющихся мощностей, обеспечивающих высокую конкурентную среду, можно решить проблему эффективности использования государственных сре</w:t>
      </w:r>
      <w:proofErr w:type="gramStart"/>
      <w:r w:rsidRPr="007F1A65">
        <w:rPr>
          <w:sz w:val="28"/>
          <w:szCs w:val="28"/>
        </w:rPr>
        <w:t>дств пр</w:t>
      </w:r>
      <w:proofErr w:type="gramEnd"/>
      <w:r w:rsidRPr="007F1A65">
        <w:rPr>
          <w:sz w:val="28"/>
          <w:szCs w:val="28"/>
        </w:rPr>
        <w:t xml:space="preserve">и оказании медицинской помощи населению.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Сложившийся в отрасли потенциал располагает необходимыми для этого возможностями. В 2016 году в России произведено медицинской продукции на 350 </w:t>
      </w:r>
      <w:proofErr w:type="gramStart"/>
      <w:r w:rsidRPr="007F1A65">
        <w:rPr>
          <w:sz w:val="28"/>
          <w:szCs w:val="28"/>
        </w:rPr>
        <w:t>млрд</w:t>
      </w:r>
      <w:proofErr w:type="gramEnd"/>
      <w:r w:rsidRPr="007F1A65">
        <w:rPr>
          <w:sz w:val="28"/>
          <w:szCs w:val="28"/>
        </w:rPr>
        <w:t xml:space="preserve"> руб. В её числе высокотехнологичные препараты и изделия, составляющие основу жизненно необходимых и важнейших лекарственных препаратов и медицинских изделий, способные на более выгодных условиях заменить их импорт.  Благодаря стимулированию государством локализации в России современных высокотехнологичных производств медицинской продукции, практически все ведущие компании по производству лекарственных средств и ряд производителей медицинских изделий уже приступили к переносу в Россию своих технологий, а пять из них представили в Минпромторг России проекты специальных инвестиционных контрактов (СПИК). </w:t>
      </w:r>
      <w:proofErr w:type="gramStart"/>
      <w:r w:rsidRPr="007F1A65">
        <w:rPr>
          <w:sz w:val="28"/>
          <w:szCs w:val="28"/>
        </w:rPr>
        <w:t>Их реализация не только будет способствовать усилению конкуренции, но и позволит обеспечить в Российской Федерации объёмы производства до контрольных цифр, предусмотренных государственной программой «Развитие фармацевтической и медицинской промышленности на 2013-2020 годы», так как организация зарубежными компаниями в Российской Федерации готовых лекарственных форм препаратов и медицинских изделий в соответствии с постановлением Правительства Российской Федерации от 17.072015г. №719 переведёт их в</w:t>
      </w:r>
      <w:proofErr w:type="gramEnd"/>
      <w:r w:rsidRPr="007F1A65">
        <w:rPr>
          <w:sz w:val="28"/>
          <w:szCs w:val="28"/>
        </w:rPr>
        <w:t xml:space="preserve"> статус </w:t>
      </w:r>
      <w:proofErr w:type="gramStart"/>
      <w:r w:rsidRPr="007F1A65">
        <w:rPr>
          <w:sz w:val="28"/>
          <w:szCs w:val="28"/>
        </w:rPr>
        <w:t>российских</w:t>
      </w:r>
      <w:proofErr w:type="gramEnd"/>
      <w:r w:rsidRPr="007F1A65">
        <w:rPr>
          <w:sz w:val="28"/>
          <w:szCs w:val="28"/>
        </w:rPr>
        <w:t xml:space="preserve">.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lastRenderedPageBreak/>
        <w:t>23 сентября 2016 года Президентом Российской Федерации утверждён Перечень поручений, предусматривающих разработку и реализацию плана развития высокотехнологичной продукции, в том числе принятие мер по решению всего комплекса вопросов, сдерживающих внедрение в  медицинскую практику лекарств и медицинской техники отечественного производства.  Работа по выполнению этих поручений начата, и, если она будет сделана качественно, то страна получит дополнительные инструменты для разработки и организации производства современных лекарств и медицинских изделий, в том числе за счет потенциала оборонно-промышленного комплекса России.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Пока же, по указанным выше причинам, создаваемые мощности используются не полностью. Многие виды продукции при наличии конкурентоспособных российских аналогов закупаются у зарубежных компаний, отчего доля лекарств и медицинских изделий отечественного производства на российском рынке в 2016г., хотя и выросла, но составляет всего  30 и 20 процентов, соответственно, хотя потенциал уже сегодня позволяет претендовать, как минимум, на 35-40 процентов. Если не изменить отношения к закупкам, то придётся останавливать некоторые производства уже в этом году. Особенно тяжелое положение сложилось с реализацией шприцев однократного применения (ШОП).  По состоянию на 01.06.2016г. мощности Российской Федерации по производству ШОП составляют 2,7 </w:t>
      </w:r>
      <w:proofErr w:type="gramStart"/>
      <w:r w:rsidRPr="007F1A65">
        <w:rPr>
          <w:sz w:val="28"/>
          <w:szCs w:val="28"/>
        </w:rPr>
        <w:t>млрд</w:t>
      </w:r>
      <w:proofErr w:type="gramEnd"/>
      <w:r w:rsidRPr="007F1A65">
        <w:rPr>
          <w:sz w:val="28"/>
          <w:szCs w:val="28"/>
        </w:rPr>
        <w:t xml:space="preserve"> шт. - это достаточно, чтобы удовлетворить в них потребности здравоохранения полностью. Начиная с 2011 г за счет замены импорта, объем реализации шприцев отечественного производства постоянно увеличивался и в 2016 г превысил 1 </w:t>
      </w:r>
      <w:proofErr w:type="gramStart"/>
      <w:r w:rsidRPr="007F1A65">
        <w:rPr>
          <w:sz w:val="28"/>
          <w:szCs w:val="28"/>
        </w:rPr>
        <w:t>млрд</w:t>
      </w:r>
      <w:proofErr w:type="gramEnd"/>
      <w:r w:rsidRPr="007F1A65">
        <w:rPr>
          <w:sz w:val="28"/>
          <w:szCs w:val="28"/>
        </w:rPr>
        <w:t xml:space="preserve"> шт. с тенденцией увеличения. Но уже в конце года, за счет искусственного отсечения продукции российского производства в аукционах, объемы ее реализации стали снижаться и, если ситуацию не изменить, их доля на рынке снизится в 2017 г в два раза. На складах предприятий скопилось несколько десятков </w:t>
      </w:r>
      <w:proofErr w:type="gramStart"/>
      <w:r w:rsidRPr="007F1A65">
        <w:rPr>
          <w:sz w:val="28"/>
          <w:szCs w:val="28"/>
        </w:rPr>
        <w:t>млн</w:t>
      </w:r>
      <w:proofErr w:type="gramEnd"/>
      <w:r w:rsidRPr="007F1A65">
        <w:rPr>
          <w:sz w:val="28"/>
          <w:szCs w:val="28"/>
        </w:rPr>
        <w:t xml:space="preserve"> шт. ШОП. Предприятия сокращают производства, а здравоохранение закупает импортные изделия по более высоким ценам, о чем свидетельствует анализ 46 аукционов на сумму 852,2 </w:t>
      </w:r>
      <w:proofErr w:type="gramStart"/>
      <w:r w:rsidRPr="007F1A65">
        <w:rPr>
          <w:sz w:val="28"/>
          <w:szCs w:val="28"/>
        </w:rPr>
        <w:t>млн</w:t>
      </w:r>
      <w:proofErr w:type="gramEnd"/>
      <w:r w:rsidRPr="007F1A65">
        <w:rPr>
          <w:sz w:val="28"/>
          <w:szCs w:val="28"/>
        </w:rPr>
        <w:t xml:space="preserve"> руб., где не смогли участвовать российские производители ШОП, средняя цена закупки в которых была меньше максимальной начальной цены на 2,61 процента и 73 аукционов на сумму 304 млн руб., в которых были закуплены отечественные ШОП, где снижение цены </w:t>
      </w:r>
      <w:proofErr w:type="gramStart"/>
      <w:r w:rsidRPr="007F1A65">
        <w:rPr>
          <w:sz w:val="28"/>
          <w:szCs w:val="28"/>
        </w:rPr>
        <w:t>закупки от начальной максимальной составили 49,17 процента.</w:t>
      </w:r>
      <w:proofErr w:type="gramEnd"/>
      <w:r w:rsidRPr="007F1A65">
        <w:rPr>
          <w:sz w:val="28"/>
          <w:szCs w:val="28"/>
        </w:rPr>
        <w:t xml:space="preserve"> В первом случае экономия составила 22,3 </w:t>
      </w:r>
      <w:proofErr w:type="gramStart"/>
      <w:r w:rsidRPr="007F1A65">
        <w:rPr>
          <w:sz w:val="28"/>
          <w:szCs w:val="28"/>
        </w:rPr>
        <w:t>млн</w:t>
      </w:r>
      <w:proofErr w:type="gramEnd"/>
      <w:r w:rsidRPr="007F1A65">
        <w:rPr>
          <w:sz w:val="28"/>
          <w:szCs w:val="28"/>
        </w:rPr>
        <w:t xml:space="preserve"> руб., а во втором 304 млн руб. при гораздо меньших объёмах закупок.</w:t>
      </w:r>
    </w:p>
    <w:p w:rsidR="00570F05" w:rsidRDefault="00A34928">
      <w:pPr>
        <w:spacing w:line="276" w:lineRule="auto"/>
        <w:ind w:firstLine="851"/>
        <w:rPr>
          <w:sz w:val="28"/>
          <w:szCs w:val="28"/>
        </w:rPr>
      </w:pPr>
      <w:r w:rsidRPr="007F1A65">
        <w:rPr>
          <w:sz w:val="28"/>
          <w:szCs w:val="28"/>
        </w:rPr>
        <w:tab/>
      </w:r>
      <w:r w:rsidRPr="007F1A65">
        <w:rPr>
          <w:sz w:val="28"/>
          <w:szCs w:val="28"/>
        </w:rPr>
        <w:tab/>
      </w:r>
      <w:r w:rsidRPr="007F1A65">
        <w:rPr>
          <w:sz w:val="28"/>
          <w:szCs w:val="28"/>
        </w:rPr>
        <w:tab/>
      </w:r>
      <w:r w:rsidRPr="007F1A65">
        <w:rPr>
          <w:sz w:val="28"/>
          <w:szCs w:val="28"/>
        </w:rPr>
        <w:tab/>
      </w:r>
    </w:p>
    <w:p w:rsidR="007F1A65" w:rsidRDefault="007F1A65">
      <w:pPr>
        <w:spacing w:line="276" w:lineRule="auto"/>
        <w:ind w:firstLine="851"/>
        <w:rPr>
          <w:sz w:val="28"/>
          <w:szCs w:val="28"/>
        </w:rPr>
      </w:pPr>
    </w:p>
    <w:p w:rsidR="007F1A65" w:rsidRDefault="007F1A65">
      <w:pPr>
        <w:spacing w:line="276" w:lineRule="auto"/>
        <w:ind w:firstLine="851"/>
        <w:rPr>
          <w:sz w:val="28"/>
          <w:szCs w:val="28"/>
        </w:rPr>
      </w:pPr>
    </w:p>
    <w:p w:rsidR="007F1A65" w:rsidRPr="007F1A65" w:rsidRDefault="007F1A65">
      <w:pPr>
        <w:spacing w:line="276" w:lineRule="auto"/>
        <w:ind w:firstLine="851"/>
        <w:rPr>
          <w:sz w:val="28"/>
          <w:szCs w:val="28"/>
        </w:rPr>
      </w:pPr>
    </w:p>
    <w:p w:rsidR="00570F05" w:rsidRDefault="00A34928">
      <w:pPr>
        <w:spacing w:line="276" w:lineRule="auto"/>
        <w:ind w:firstLine="851"/>
        <w:jc w:val="center"/>
        <w:rPr>
          <w:sz w:val="28"/>
          <w:szCs w:val="28"/>
        </w:rPr>
      </w:pPr>
      <w:r w:rsidRPr="007F1A65">
        <w:rPr>
          <w:sz w:val="28"/>
          <w:szCs w:val="28"/>
        </w:rPr>
        <w:lastRenderedPageBreak/>
        <w:t>Сравнительная таблица аукционов  по закупке ШОП импортного и отечественного производства в 2016-2017 годах</w:t>
      </w:r>
    </w:p>
    <w:p w:rsidR="004C0A4A" w:rsidRPr="007F1A65" w:rsidRDefault="004C0A4A">
      <w:pPr>
        <w:spacing w:line="276" w:lineRule="auto"/>
        <w:ind w:firstLine="851"/>
        <w:jc w:val="center"/>
        <w:rPr>
          <w:sz w:val="28"/>
          <w:szCs w:val="28"/>
        </w:rPr>
      </w:pPr>
    </w:p>
    <w:tbl>
      <w:tblPr>
        <w:tblStyle w:val="af1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559"/>
        <w:gridCol w:w="1418"/>
        <w:gridCol w:w="708"/>
        <w:gridCol w:w="1560"/>
        <w:gridCol w:w="1559"/>
        <w:gridCol w:w="1559"/>
      </w:tblGrid>
      <w:tr w:rsidR="00570F05" w:rsidRPr="007F1A65" w:rsidTr="004C0A4A">
        <w:tc>
          <w:tcPr>
            <w:tcW w:w="1242" w:type="dxa"/>
          </w:tcPr>
          <w:p w:rsidR="00570F05" w:rsidRPr="007F1A65" w:rsidRDefault="00570F0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Кол-во аукционов</w:t>
            </w:r>
          </w:p>
          <w:p w:rsidR="00570F05" w:rsidRPr="007F1A65" w:rsidRDefault="00570F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Начальная цена аукциона</w:t>
            </w:r>
          </w:p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418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контракта (руб.)</w:t>
            </w:r>
          </w:p>
        </w:tc>
        <w:tc>
          <w:tcPr>
            <w:tcW w:w="708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% </w:t>
            </w:r>
          </w:p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снижения</w:t>
            </w:r>
          </w:p>
        </w:tc>
        <w:tc>
          <w:tcPr>
            <w:tcW w:w="1560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экономии бюджета (руб.)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Сумма уплаченных налогов</w:t>
            </w:r>
          </w:p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Сумма денежных средств, оплаченных за рубеж </w:t>
            </w:r>
          </w:p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(руб.)</w:t>
            </w:r>
          </w:p>
        </w:tc>
      </w:tr>
      <w:tr w:rsidR="00570F05" w:rsidRPr="007F1A65" w:rsidTr="004C0A4A">
        <w:tc>
          <w:tcPr>
            <w:tcW w:w="1242" w:type="dxa"/>
            <w:hideMark/>
          </w:tcPr>
          <w:p w:rsidR="00570F05" w:rsidRPr="007F1A65" w:rsidRDefault="00A349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Аукционы с участием </w:t>
            </w:r>
            <w:proofErr w:type="gramStart"/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импортных</w:t>
            </w:r>
            <w:proofErr w:type="gramEnd"/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570F05" w:rsidRPr="007F1A65" w:rsidRDefault="00A349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ШОП</w:t>
            </w:r>
          </w:p>
        </w:tc>
        <w:tc>
          <w:tcPr>
            <w:tcW w:w="851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852 222 025,78</w:t>
            </w:r>
          </w:p>
        </w:tc>
        <w:tc>
          <w:tcPr>
            <w:tcW w:w="1418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829 942 645,84</w:t>
            </w:r>
          </w:p>
        </w:tc>
        <w:tc>
          <w:tcPr>
            <w:tcW w:w="708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2,61</w:t>
            </w:r>
          </w:p>
        </w:tc>
        <w:tc>
          <w:tcPr>
            <w:tcW w:w="1560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22 279 379,94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62 245 698,44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494 215 977,72</w:t>
            </w:r>
          </w:p>
        </w:tc>
      </w:tr>
      <w:tr w:rsidR="00570F05" w:rsidRPr="007F1A65" w:rsidTr="004C0A4A">
        <w:tc>
          <w:tcPr>
            <w:tcW w:w="1242" w:type="dxa"/>
            <w:hideMark/>
          </w:tcPr>
          <w:p w:rsidR="00570F05" w:rsidRPr="007F1A65" w:rsidRDefault="00A349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Аукционы с участием </w:t>
            </w:r>
            <w:proofErr w:type="gramStart"/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отечественных</w:t>
            </w:r>
            <w:proofErr w:type="gramEnd"/>
          </w:p>
          <w:p w:rsidR="00570F05" w:rsidRPr="007F1A65" w:rsidRDefault="00A3492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ШОП</w:t>
            </w:r>
          </w:p>
        </w:tc>
        <w:tc>
          <w:tcPr>
            <w:tcW w:w="851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618 466 551,74</w:t>
            </w:r>
          </w:p>
        </w:tc>
        <w:tc>
          <w:tcPr>
            <w:tcW w:w="1418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314 385 564,05</w:t>
            </w:r>
          </w:p>
        </w:tc>
        <w:tc>
          <w:tcPr>
            <w:tcW w:w="708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49,17</w:t>
            </w:r>
          </w:p>
        </w:tc>
        <w:tc>
          <w:tcPr>
            <w:tcW w:w="1560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304 080 987,69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125 750 909,82</w:t>
            </w:r>
          </w:p>
        </w:tc>
        <w:tc>
          <w:tcPr>
            <w:tcW w:w="1559" w:type="dxa"/>
            <w:hideMark/>
          </w:tcPr>
          <w:p w:rsidR="00570F05" w:rsidRPr="007F1A65" w:rsidRDefault="00A34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A6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570F05" w:rsidRPr="007F1A65" w:rsidRDefault="00570F05">
      <w:pPr>
        <w:spacing w:line="276" w:lineRule="auto"/>
        <w:ind w:firstLine="851"/>
        <w:rPr>
          <w:sz w:val="28"/>
          <w:szCs w:val="28"/>
        </w:rPr>
      </w:pP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За последние 7 лет в разработку и производство лекарств и медицинских изделий вложено около 200 </w:t>
      </w:r>
      <w:proofErr w:type="gramStart"/>
      <w:r w:rsidRPr="007F1A65">
        <w:rPr>
          <w:sz w:val="28"/>
          <w:szCs w:val="28"/>
        </w:rPr>
        <w:t>млрд</w:t>
      </w:r>
      <w:proofErr w:type="gramEnd"/>
      <w:r w:rsidRPr="007F1A65">
        <w:rPr>
          <w:sz w:val="28"/>
          <w:szCs w:val="28"/>
        </w:rPr>
        <w:t xml:space="preserve"> руб., в том числе  более 50 млрд руб. из государственного бюджета. Страна начала получать отдачу от этих вложений, но темпы её могли бы быть гораздо выше. В 2016 году рынок лекарств и медицинских изделий составил около полутора триллионов рублей. Более триллиона из них пошло на развитие фарминдустрии в зарубежных странах. 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>Создавшееся положение стало возможным</w:t>
      </w:r>
      <w:r w:rsidR="00250C86">
        <w:rPr>
          <w:sz w:val="28"/>
          <w:szCs w:val="28"/>
        </w:rPr>
        <w:t>,</w:t>
      </w:r>
      <w:r w:rsidRPr="007F1A65">
        <w:rPr>
          <w:sz w:val="28"/>
          <w:szCs w:val="28"/>
        </w:rPr>
        <w:t xml:space="preserve"> в том числе</w:t>
      </w:r>
      <w:r w:rsidR="00250C86">
        <w:rPr>
          <w:sz w:val="28"/>
          <w:szCs w:val="28"/>
        </w:rPr>
        <w:t>,</w:t>
      </w:r>
      <w:r w:rsidRPr="007F1A65">
        <w:rPr>
          <w:sz w:val="28"/>
          <w:szCs w:val="28"/>
        </w:rPr>
        <w:t xml:space="preserve"> и из-за игнорирования отдельными заказчиками требований Федерального закона о контрактной системе и постановлений  Правительства Российской Федерации от 05.02.2015г. №</w:t>
      </w:r>
      <w:r w:rsidR="00250C86">
        <w:rPr>
          <w:sz w:val="28"/>
          <w:szCs w:val="28"/>
        </w:rPr>
        <w:t> </w:t>
      </w:r>
      <w:r w:rsidRPr="007F1A65">
        <w:rPr>
          <w:sz w:val="28"/>
          <w:szCs w:val="28"/>
        </w:rPr>
        <w:t>102  «Об установлении ограничений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и от 30.11.2015г. №1289 «Об ограничениях и условиях допуска происходящих</w:t>
      </w:r>
      <w:proofErr w:type="gramEnd"/>
      <w:r w:rsidRPr="007F1A65">
        <w:rPr>
          <w:sz w:val="28"/>
          <w:szCs w:val="28"/>
        </w:rPr>
        <w:t xml:space="preserve"> из иностранных государств лекарственных препаратов, включенных в  Перечень жизненно необходимых  и важнейших лекарственных препаратов, для целей осуществления закупок для обеспечения государственных и муниципальных нужд». Заказчики находят десятки способов обойти существующие нормы регулирования закупок и объяснить принимаемые решения исключительностью потребительских свойств, приобретаемых препаратов и изделий. </w:t>
      </w:r>
      <w:proofErr w:type="gramStart"/>
      <w:r w:rsidRPr="007F1A65">
        <w:rPr>
          <w:sz w:val="28"/>
          <w:szCs w:val="28"/>
        </w:rPr>
        <w:t xml:space="preserve">Чтобы оправдать нарушения при организации торгов,  часто приводятся несостоятельные доводы о неоднозначности свойств аналоговых товаров, что легализует включение в технические задания торговых наименований вместо международных непатентованных  лекарств или приводятся несущественные технические характеристики аппаратов и приборов для медицинских изделий, что в свою очередь обеспечивает доступ к торгам только одного конкретного </w:t>
      </w:r>
      <w:r w:rsidRPr="007F1A65">
        <w:rPr>
          <w:sz w:val="28"/>
          <w:szCs w:val="28"/>
        </w:rPr>
        <w:lastRenderedPageBreak/>
        <w:t>поставщика, нарушает принцип конкуренции и, как следствие – закупку товаров по начальной</w:t>
      </w:r>
      <w:proofErr w:type="gramEnd"/>
      <w:r w:rsidRPr="007F1A65">
        <w:rPr>
          <w:sz w:val="28"/>
          <w:szCs w:val="28"/>
        </w:rPr>
        <w:t xml:space="preserve"> максимальной цене контракта.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>Справиться с такими нарушениями можно</w:t>
      </w:r>
      <w:r w:rsidR="00530F61">
        <w:rPr>
          <w:sz w:val="28"/>
          <w:szCs w:val="28"/>
        </w:rPr>
        <w:t xml:space="preserve"> </w:t>
      </w:r>
      <w:r w:rsidRPr="007F1A65">
        <w:rPr>
          <w:sz w:val="28"/>
          <w:szCs w:val="28"/>
        </w:rPr>
        <w:t>путём дальнейшего совершенствования системы регулирования обращения лекарственных средств и  медицинских изделий системы, и</w:t>
      </w:r>
      <w:r w:rsidR="00250C86">
        <w:rPr>
          <w:sz w:val="28"/>
          <w:szCs w:val="28"/>
        </w:rPr>
        <w:t>,</w:t>
      </w:r>
      <w:r w:rsidRPr="007F1A65">
        <w:rPr>
          <w:sz w:val="28"/>
          <w:szCs w:val="28"/>
        </w:rPr>
        <w:t xml:space="preserve"> прежде всего</w:t>
      </w:r>
      <w:r w:rsidR="00250C86">
        <w:rPr>
          <w:sz w:val="28"/>
          <w:szCs w:val="28"/>
        </w:rPr>
        <w:t>,</w:t>
      </w:r>
      <w:r w:rsidRPr="007F1A65">
        <w:rPr>
          <w:sz w:val="28"/>
          <w:szCs w:val="28"/>
        </w:rPr>
        <w:t xml:space="preserve"> системы, не позволяющей двойного толкования при описании объектов закупок, осуществлением жестко</w:t>
      </w:r>
      <w:r w:rsidR="00530F61">
        <w:rPr>
          <w:sz w:val="28"/>
          <w:szCs w:val="28"/>
        </w:rPr>
        <w:t xml:space="preserve">го контроля за их исполнением, </w:t>
      </w:r>
      <w:r w:rsidRPr="007F1A65">
        <w:rPr>
          <w:sz w:val="28"/>
          <w:szCs w:val="28"/>
        </w:rPr>
        <w:t>а также за счет повышения заинтересованности заказчиков на государственном уровне ориентироваться на продукцию российского производства, если она не уступает зарубежной.</w:t>
      </w:r>
      <w:proofErr w:type="gramEnd"/>
      <w:r w:rsidRPr="007F1A65">
        <w:rPr>
          <w:sz w:val="28"/>
          <w:szCs w:val="28"/>
        </w:rPr>
        <w:t xml:space="preserve"> </w:t>
      </w:r>
      <w:proofErr w:type="gramStart"/>
      <w:r w:rsidRPr="007F1A65">
        <w:rPr>
          <w:sz w:val="28"/>
          <w:szCs w:val="28"/>
        </w:rPr>
        <w:t xml:space="preserve">Для более эффективной поддержки отечественных производителей и стимулирования развития производства в Российской Федерации  высокотехнологичных видов медицинской продукции целесообразно ввести НДС и увеличенные пошлины на ввоз готовых лекарственных средств и медицинских изделий, включенных в перечень, утвержденный </w:t>
      </w:r>
      <w:r w:rsidR="00530F61">
        <w:rPr>
          <w:sz w:val="28"/>
          <w:szCs w:val="28"/>
        </w:rPr>
        <w:t>п</w:t>
      </w:r>
      <w:r w:rsidRPr="007F1A65">
        <w:rPr>
          <w:sz w:val="28"/>
          <w:szCs w:val="28"/>
        </w:rPr>
        <w:t>остановлением Правительства Российской Федерации от 05.02.2015 г № 102, а также отражать в единой информационной системе в сфере закупок товаров, работ, услуг для обеспечения государственных и</w:t>
      </w:r>
      <w:proofErr w:type="gramEnd"/>
      <w:r w:rsidRPr="007F1A65">
        <w:rPr>
          <w:sz w:val="28"/>
          <w:szCs w:val="28"/>
        </w:rPr>
        <w:t xml:space="preserve"> муниципальных нужд информацию о применении преференциальных норм, предусмотренных указанными постановлениями. Дело в том, что в настоящее время компании, локализовавшие  в России свои производства, приобретают как российские комплектующие для производимой ими продукции, так и импортные, имеющие аналоги в России, с уплатой НДС. Ввоз же на территории России готовых изделий не облагается налогом и </w:t>
      </w:r>
      <w:proofErr w:type="gramStart"/>
      <w:r w:rsidRPr="007F1A65">
        <w:rPr>
          <w:sz w:val="28"/>
          <w:szCs w:val="28"/>
        </w:rPr>
        <w:t>компании</w:t>
      </w:r>
      <w:proofErr w:type="gramEnd"/>
      <w:r w:rsidRPr="007F1A65">
        <w:rPr>
          <w:sz w:val="28"/>
          <w:szCs w:val="28"/>
        </w:rPr>
        <w:t xml:space="preserve"> ввозящие готовые импортные изделия, которым НДС возвращается при импорте, находятся в лучших экономических условиях по сравнению с отечественными производителями медицинских изделий.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Учитывая, что большой проблемой является правовая неопределенность толкования принципиальных норм федерального закона № 44-ФЗ,  Федеральной антимонопольной службе и Верховному суду необходимо ускорить работу по обобщению судебной практики по закупкам лекарств и медицинских изделий. </w:t>
      </w:r>
      <w:proofErr w:type="gramStart"/>
      <w:r w:rsidRPr="007F1A65">
        <w:rPr>
          <w:sz w:val="28"/>
          <w:szCs w:val="28"/>
        </w:rPr>
        <w:t xml:space="preserve">О важности этой работы свидетельствуют приведенные выше примеры и постоянно растущие стремления заказчиков обходить регуляторные требования путем перевода закупок под правовое регулирование федерального закона № 223-ФЗ; закупки значительной доли продукции под видом «социальные услуги» через аукцион; совмещение поставки и отпуск;  объединения в номенклатуре препаратов разных МНН, что опять же приводит к нарушению конкуренции и перерасходу бюджетных средств. </w:t>
      </w:r>
      <w:proofErr w:type="gramEnd"/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>По прежнему</w:t>
      </w:r>
      <w:proofErr w:type="gramEnd"/>
      <w:r w:rsidRPr="007F1A65">
        <w:rPr>
          <w:sz w:val="28"/>
          <w:szCs w:val="28"/>
        </w:rPr>
        <w:t xml:space="preserve"> вызывает беспокойство  решение о централизации государственных закупок медицинской продукции у единственного  поставщика. Позиция профессиональных общественных организаций по данному вопросу уже излагалась. Она заключается в том, что такое право должно предоставляться в </w:t>
      </w:r>
      <w:r w:rsidRPr="007F1A65">
        <w:rPr>
          <w:sz w:val="28"/>
          <w:szCs w:val="28"/>
        </w:rPr>
        <w:lastRenderedPageBreak/>
        <w:t>исключительных случаях, когда закупке подлежит продукт либо вообще не имеющий аналогов в Российской Федерации, либо не имеющих аналогов по глубине локализации. В противном случае такие решения приведут к  нарушению конкуренции, снижению инвестиционной привлекательности отрасли, поставят в  неравное положение предприятия, работающие в этой области, и  окажут негативное влияние на их экономику и на экономику здравоохранения в целом.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>В этом отношении, представленный в Правительство Российской Федерации проект постановления «Об утверждении Правил отбора организации (</w:t>
      </w:r>
      <w:proofErr w:type="spellStart"/>
      <w:r w:rsidRPr="007F1A65">
        <w:rPr>
          <w:sz w:val="28"/>
          <w:szCs w:val="28"/>
        </w:rPr>
        <w:t>ий</w:t>
      </w:r>
      <w:proofErr w:type="spellEnd"/>
      <w:r w:rsidRPr="007F1A65">
        <w:rPr>
          <w:sz w:val="28"/>
          <w:szCs w:val="28"/>
        </w:rPr>
        <w:t>) в 2017-2024 годах реализующих комплексный (</w:t>
      </w:r>
      <w:proofErr w:type="spellStart"/>
      <w:r w:rsidRPr="007F1A65">
        <w:rPr>
          <w:sz w:val="28"/>
          <w:szCs w:val="28"/>
        </w:rPr>
        <w:t>ые</w:t>
      </w:r>
      <w:proofErr w:type="spellEnd"/>
      <w:r w:rsidRPr="007F1A65">
        <w:rPr>
          <w:sz w:val="28"/>
          <w:szCs w:val="28"/>
        </w:rPr>
        <w:t>) проект (ы) по расширению и (или) локализации производства одноразовых медицинских изделий из ПВХ-пластикатов в целях представления гарантий государственного спроса на производимую  и локализуемую  продукцию на срок окупаемости проекта путём осуществления её закупки для обеспечения государственных и муниципальных нужд</w:t>
      </w:r>
      <w:proofErr w:type="gramEnd"/>
      <w:r w:rsidRPr="007F1A65">
        <w:rPr>
          <w:sz w:val="28"/>
          <w:szCs w:val="28"/>
        </w:rPr>
        <w:t>», противоречит, проводимой государством  политике по формированию высокотехнологичной промышленности путём создания конкурентных и равных условий осуществления деятельности субъектами в сфере промышленности.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 xml:space="preserve">Наилучшей формой стимулирования развития инновационных видов медицинской продукции может служить заключение с инвесторами специального инвестиционного контракта (СПИК), для которого Федеральным законом « О контрактной системе» предусмотрена возможность применения к инвестору меры стимулирования путем предоставления заказчикам права закупать у производителя-участника </w:t>
      </w:r>
      <w:proofErr w:type="spellStart"/>
      <w:r w:rsidRPr="007F1A65">
        <w:rPr>
          <w:sz w:val="28"/>
          <w:szCs w:val="28"/>
        </w:rPr>
        <w:t>СПИКа</w:t>
      </w:r>
      <w:proofErr w:type="spellEnd"/>
      <w:r w:rsidRPr="007F1A65">
        <w:rPr>
          <w:sz w:val="28"/>
          <w:szCs w:val="28"/>
        </w:rPr>
        <w:t xml:space="preserve"> как у единственного поставщика товары, производства которых создаются или модернизируются на территории Российской Федерации.</w:t>
      </w:r>
      <w:proofErr w:type="gramEnd"/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F1A65">
        <w:rPr>
          <w:sz w:val="28"/>
          <w:szCs w:val="28"/>
        </w:rPr>
        <w:t>Накопившийся в последнее время комплекс проблем в организации и проведении закупок лекарственных средств и медицинских изделий для государственных нужд, может быть разрешен только в случае, если удастся наладить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профессиональных общественных объединений на этом важном участке.</w:t>
      </w:r>
      <w:proofErr w:type="gramEnd"/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Прежде всего</w:t>
      </w:r>
      <w:r w:rsidR="00EF479B">
        <w:rPr>
          <w:sz w:val="28"/>
          <w:szCs w:val="28"/>
        </w:rPr>
        <w:t>,</w:t>
      </w:r>
      <w:r w:rsidRPr="007F1A65">
        <w:rPr>
          <w:sz w:val="28"/>
          <w:szCs w:val="28"/>
        </w:rPr>
        <w:t xml:space="preserve"> необходимо: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1. Проинформировать Президента Российской Федерации и Правительство Российской Федерации о результатах реализации Федерального закона №44-ФЗ «О контрактной системе в сфере закупок товаров, работ, услуг для обеспечения государственных и муниципальных нужд» в части закупок медицинской продукции.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2. </w:t>
      </w:r>
      <w:proofErr w:type="gramStart"/>
      <w:r w:rsidRPr="007F1A65">
        <w:rPr>
          <w:sz w:val="28"/>
          <w:szCs w:val="28"/>
        </w:rPr>
        <w:t xml:space="preserve">Рекомендовать </w:t>
      </w:r>
      <w:proofErr w:type="spellStart"/>
      <w:r w:rsidRPr="007F1A65">
        <w:rPr>
          <w:sz w:val="28"/>
          <w:szCs w:val="28"/>
        </w:rPr>
        <w:t>Минпромторгу</w:t>
      </w:r>
      <w:proofErr w:type="spellEnd"/>
      <w:r w:rsidRPr="007F1A65">
        <w:rPr>
          <w:sz w:val="28"/>
          <w:szCs w:val="28"/>
        </w:rPr>
        <w:t xml:space="preserve"> России совместно с Минздравом России, Минэкономики России, ФАС России, Росздравнадзором, РСПП и ТПП Росси</w:t>
      </w:r>
      <w:r w:rsidR="00EF479B">
        <w:rPr>
          <w:sz w:val="28"/>
          <w:szCs w:val="28"/>
        </w:rPr>
        <w:t>и</w:t>
      </w:r>
      <w:r w:rsidRPr="007F1A65">
        <w:rPr>
          <w:sz w:val="28"/>
          <w:szCs w:val="28"/>
        </w:rPr>
        <w:t xml:space="preserve"> </w:t>
      </w:r>
      <w:r w:rsidRPr="007F1A65">
        <w:rPr>
          <w:sz w:val="28"/>
          <w:szCs w:val="28"/>
        </w:rPr>
        <w:lastRenderedPageBreak/>
        <w:t>разработать и внести в Правительство Российской Федерации предложения по совершенствованию Федерального закона о контрактной системе и принятых в его исполнение нормативных правовых актов, с учетом правоприменительной практики и Перечня Поручений Президента Российской Федерации от 8 сентября 2016 года,  предусматривающие:</w:t>
      </w:r>
      <w:proofErr w:type="gramEnd"/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уточнение описания объекта закупки, исключающее требования, которые могут привести к ограничению количества участников закупки;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рекомендации по формированию лотов, не допускающие включение в один лот технологически и функционально не  связанные между собой товары;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- ускорение принятия новой редакции Общероссийского классификатора продукции по видам экономической (ОКПД2) </w:t>
      </w:r>
      <w:proofErr w:type="gramStart"/>
      <w:r w:rsidRPr="007F1A65">
        <w:rPr>
          <w:sz w:val="28"/>
          <w:szCs w:val="28"/>
        </w:rPr>
        <w:t>ОК</w:t>
      </w:r>
      <w:proofErr w:type="gramEnd"/>
      <w:r w:rsidRPr="007F1A65">
        <w:rPr>
          <w:sz w:val="28"/>
          <w:szCs w:val="28"/>
        </w:rPr>
        <w:t xml:space="preserve"> 034-2014 с присвоением кодов по всему спектру медицинских товаров;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- введение инструмента борьбы с </w:t>
      </w:r>
      <w:r w:rsidRPr="00A34928">
        <w:rPr>
          <w:sz w:val="28"/>
          <w:szCs w:val="28"/>
        </w:rPr>
        <w:t>демпингом, так</w:t>
      </w:r>
      <w:r w:rsidRPr="007F1A65">
        <w:rPr>
          <w:sz w:val="28"/>
          <w:szCs w:val="28"/>
        </w:rPr>
        <w:t xml:space="preserve"> как ст. 37 Федерального закона №44-ФЗ, легко обходится участниками закупок;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уточнение нормативных актов о типовых контрактах и типовых технических задани</w:t>
      </w:r>
      <w:r w:rsidR="00B85DD4">
        <w:rPr>
          <w:sz w:val="28"/>
          <w:szCs w:val="28"/>
        </w:rPr>
        <w:t>ях</w:t>
      </w:r>
      <w:r w:rsidRPr="007F1A65">
        <w:rPr>
          <w:sz w:val="28"/>
          <w:szCs w:val="28"/>
        </w:rPr>
        <w:t>, применяемых при государственных закупках, не допускающее включение в них избыточной информации, способствующей ограничению числа участников закупки;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- повышение ответственности должностных лиц за </w:t>
      </w:r>
      <w:r w:rsidR="00B85DD4" w:rsidRPr="00A34928">
        <w:rPr>
          <w:sz w:val="28"/>
          <w:szCs w:val="28"/>
        </w:rPr>
        <w:t>не</w:t>
      </w:r>
      <w:r w:rsidR="00B85DD4">
        <w:rPr>
          <w:sz w:val="28"/>
          <w:szCs w:val="28"/>
        </w:rPr>
        <w:t>соблюдение</w:t>
      </w:r>
      <w:r w:rsidRPr="007F1A65">
        <w:rPr>
          <w:sz w:val="28"/>
          <w:szCs w:val="28"/>
        </w:rPr>
        <w:t xml:space="preserve"> законодательства и </w:t>
      </w:r>
      <w:r w:rsidR="00B85DD4">
        <w:rPr>
          <w:sz w:val="28"/>
          <w:szCs w:val="28"/>
        </w:rPr>
        <w:t>подзаконных</w:t>
      </w:r>
      <w:r w:rsidRPr="007F1A65">
        <w:rPr>
          <w:sz w:val="28"/>
          <w:szCs w:val="28"/>
        </w:rPr>
        <w:t xml:space="preserve"> нормативных </w:t>
      </w:r>
      <w:r w:rsidR="00B85DD4">
        <w:rPr>
          <w:sz w:val="28"/>
          <w:szCs w:val="28"/>
        </w:rPr>
        <w:t xml:space="preserve">правовых </w:t>
      </w:r>
      <w:r w:rsidRPr="007F1A65">
        <w:rPr>
          <w:sz w:val="28"/>
          <w:szCs w:val="28"/>
        </w:rPr>
        <w:t>актов, регулирующих закупки медицинской продукции;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обязанность заказчиков привлекать экспертные организации при осуществлении закупки в случаях, которые предусмотрены Федеральным законом №44-ФЗ (ч.1 ст.41) для оценки конкурсной документации, оценки заявок на участие в конкурсах и оценки соответствия участников конкурса дополнительным требованиям заказчика;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ускорение  принятия нормативных правовых актов, определяющих порядок и правила предоставления преференций участникам торгов в зависимости от степени локализации производства лекарственных средств и медицинских изделий;</w:t>
      </w:r>
    </w:p>
    <w:p w:rsidR="00570F05" w:rsidRPr="007F1A65" w:rsidRDefault="00A34928" w:rsidP="002B5715">
      <w:pPr>
        <w:tabs>
          <w:tab w:val="left" w:pos="9781"/>
        </w:tabs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разработ</w:t>
      </w:r>
      <w:r w:rsidR="002B5715">
        <w:rPr>
          <w:sz w:val="28"/>
          <w:szCs w:val="28"/>
        </w:rPr>
        <w:t>ать</w:t>
      </w:r>
      <w:r w:rsidRPr="007F1A65">
        <w:rPr>
          <w:sz w:val="28"/>
          <w:szCs w:val="28"/>
        </w:rPr>
        <w:t xml:space="preserve"> механизм контроля наполнения Каталога медицинской продукции государственной информационной системы промышленности (ГИСП), позволяющего автоматически позиционировать товар относительно российских и зарубежных аналогов;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разработ</w:t>
      </w:r>
      <w:r w:rsidR="004A7A53">
        <w:rPr>
          <w:sz w:val="28"/>
          <w:szCs w:val="28"/>
        </w:rPr>
        <w:t>ать</w:t>
      </w:r>
      <w:r w:rsidRPr="007F1A65">
        <w:rPr>
          <w:sz w:val="28"/>
          <w:szCs w:val="28"/>
        </w:rPr>
        <w:t xml:space="preserve"> мер</w:t>
      </w:r>
      <w:r w:rsidR="004A7A53">
        <w:rPr>
          <w:sz w:val="28"/>
          <w:szCs w:val="28"/>
        </w:rPr>
        <w:t>ы</w:t>
      </w:r>
      <w:r w:rsidRPr="007F1A65">
        <w:rPr>
          <w:sz w:val="28"/>
          <w:szCs w:val="28"/>
        </w:rPr>
        <w:t xml:space="preserve"> по стимулированию спроса на медицинскую продукцию российского производства;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</w:t>
      </w:r>
      <w:r w:rsidR="004A7A53">
        <w:rPr>
          <w:sz w:val="28"/>
          <w:szCs w:val="28"/>
        </w:rPr>
        <w:t xml:space="preserve"> </w:t>
      </w:r>
      <w:r w:rsidRPr="00EE6009">
        <w:rPr>
          <w:sz w:val="28"/>
          <w:szCs w:val="28"/>
        </w:rPr>
        <w:t>применение Третейского суда для защиты интересов предприятий, осуществляющих деятельность в фармацевтической и медицинской промышленности.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lastRenderedPageBreak/>
        <w:t>3. Союзу ассоциаций и предприятий фармацевтической и медицинской промышленности совместно с Росздравнадзором организовать работу по регистрации предприятий в ГИСП и внесению производимых ими номенклатурных позиций в Каталог, для чего заключить соглашение о сотрудничестве с ФГАУ «Российский фонд технологического развития».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4. Просить Правительство Российской Федерации: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 xml:space="preserve">- рассмотреть вопрос о мерах по совершенствованию системы закупок лекарственных средств и медицинских изделий для государственных и муниципальных нужд и координации деятельности в этой сфере федеральных органов исполнительной власти, органов исполнительной власти субъектов Российской Федерации и органов местного самоуправления на Правительственной комиссии по </w:t>
      </w:r>
      <w:proofErr w:type="spellStart"/>
      <w:r w:rsidRPr="007F1A65">
        <w:rPr>
          <w:sz w:val="28"/>
          <w:szCs w:val="28"/>
        </w:rPr>
        <w:t>импортозамещению</w:t>
      </w:r>
      <w:proofErr w:type="spellEnd"/>
      <w:r w:rsidRPr="007F1A65">
        <w:rPr>
          <w:sz w:val="28"/>
          <w:szCs w:val="28"/>
        </w:rPr>
        <w:t>:</w:t>
      </w:r>
    </w:p>
    <w:p w:rsidR="00570F05" w:rsidRPr="007F1A65" w:rsidRDefault="00A34928">
      <w:pPr>
        <w:spacing w:line="276" w:lineRule="auto"/>
        <w:ind w:firstLine="851"/>
        <w:jc w:val="both"/>
        <w:rPr>
          <w:sz w:val="28"/>
          <w:szCs w:val="28"/>
        </w:rPr>
      </w:pPr>
      <w:r w:rsidRPr="007F1A65">
        <w:rPr>
          <w:sz w:val="28"/>
          <w:szCs w:val="28"/>
        </w:rPr>
        <w:t>- до утверждения Правил отбора организаций, реализующих комплексные проекты по расширению и локализации медицинской продукции в целях предоставления гарантий государственного спроса на производимую продукцию, провести их всестороннее обсуждение с участием профессиональных общественных организаций.</w:t>
      </w:r>
    </w:p>
    <w:sectPr w:rsidR="00570F05" w:rsidRPr="007F1A65" w:rsidSect="00570F05">
      <w:footerReference w:type="default" r:id="rId9"/>
      <w:pgSz w:w="11906" w:h="16838"/>
      <w:pgMar w:top="680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01" w:rsidRDefault="00667B01">
      <w:r>
        <w:separator/>
      </w:r>
    </w:p>
  </w:endnote>
  <w:endnote w:type="continuationSeparator" w:id="0">
    <w:p w:rsidR="00667B01" w:rsidRDefault="0066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1165"/>
      <w:docPartObj>
        <w:docPartGallery w:val="Page Numbers (Bottom of Page)"/>
        <w:docPartUnique/>
      </w:docPartObj>
    </w:sdtPr>
    <w:sdtEndPr/>
    <w:sdtContent>
      <w:p w:rsidR="00667B01" w:rsidRDefault="00EA16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B01" w:rsidRDefault="00667B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01" w:rsidRDefault="00667B01">
      <w:r>
        <w:separator/>
      </w:r>
    </w:p>
  </w:footnote>
  <w:footnote w:type="continuationSeparator" w:id="0">
    <w:p w:rsidR="00667B01" w:rsidRDefault="0066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AAB"/>
    <w:multiLevelType w:val="hybridMultilevel"/>
    <w:tmpl w:val="C0A4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7AB9"/>
    <w:multiLevelType w:val="hybridMultilevel"/>
    <w:tmpl w:val="BC88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05"/>
    <w:rsid w:val="00100A2D"/>
    <w:rsid w:val="00250C86"/>
    <w:rsid w:val="002B5715"/>
    <w:rsid w:val="004A7A53"/>
    <w:rsid w:val="004C0A4A"/>
    <w:rsid w:val="00530F61"/>
    <w:rsid w:val="00570F05"/>
    <w:rsid w:val="005F092A"/>
    <w:rsid w:val="00667B01"/>
    <w:rsid w:val="006F6626"/>
    <w:rsid w:val="007F1A65"/>
    <w:rsid w:val="00A34928"/>
    <w:rsid w:val="00A83870"/>
    <w:rsid w:val="00AA4855"/>
    <w:rsid w:val="00AC4795"/>
    <w:rsid w:val="00B85DD4"/>
    <w:rsid w:val="00DC0485"/>
    <w:rsid w:val="00EA1668"/>
    <w:rsid w:val="00EE6009"/>
    <w:rsid w:val="00E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5"/>
    <w:pPr>
      <w:autoSpaceDE w:val="0"/>
      <w:autoSpaceDN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F05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70F05"/>
    <w:pPr>
      <w:keepNext/>
      <w:ind w:right="-1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70F05"/>
    <w:pPr>
      <w:keepNext/>
      <w:tabs>
        <w:tab w:val="left" w:pos="397"/>
        <w:tab w:val="left" w:pos="737"/>
      </w:tabs>
      <w:ind w:left="-709" w:right="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70F05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70F05"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05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570F05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570F05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0F05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0F05"/>
    <w:rPr>
      <w:b/>
      <w:sz w:val="22"/>
      <w:szCs w:val="24"/>
      <w:lang w:eastAsia="ru-RU"/>
    </w:rPr>
  </w:style>
  <w:style w:type="paragraph" w:styleId="a3">
    <w:name w:val="Title"/>
    <w:basedOn w:val="a"/>
    <w:link w:val="a4"/>
    <w:qFormat/>
    <w:rsid w:val="00570F0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70F05"/>
    <w:rPr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70F05"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570F05"/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7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F0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F05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0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F05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semiHidden/>
    <w:unhideWhenUsed/>
    <w:rsid w:val="00570F05"/>
    <w:rPr>
      <w:color w:val="0066CC"/>
      <w:u w:val="single"/>
    </w:rPr>
  </w:style>
  <w:style w:type="character" w:customStyle="1" w:styleId="ae">
    <w:name w:val="Основной текст_"/>
    <w:basedOn w:val="a0"/>
    <w:link w:val="21"/>
    <w:locked/>
    <w:rsid w:val="00570F0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570F05"/>
    <w:pPr>
      <w:widowControl w:val="0"/>
      <w:shd w:val="clear" w:color="auto" w:fill="FFFFFF"/>
      <w:autoSpaceDE/>
      <w:autoSpaceDN/>
      <w:spacing w:before="60" w:after="420" w:line="0" w:lineRule="atLeast"/>
    </w:pPr>
    <w:rPr>
      <w:sz w:val="25"/>
      <w:szCs w:val="25"/>
      <w:lang w:eastAsia="en-US"/>
    </w:rPr>
  </w:style>
  <w:style w:type="character" w:customStyle="1" w:styleId="af">
    <w:name w:val="Основной текст + Полужирный"/>
    <w:basedOn w:val="ae"/>
    <w:rsid w:val="00570F0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570F05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styleId="af0">
    <w:name w:val="No Spacing"/>
    <w:uiPriority w:val="1"/>
    <w:qFormat/>
    <w:rsid w:val="00570F05"/>
    <w:rPr>
      <w:rFonts w:asciiTheme="minorHAnsi" w:eastAsiaTheme="minorHAnsi" w:hAnsiTheme="minorHAnsi" w:cstheme="minorBidi"/>
      <w:sz w:val="22"/>
      <w:szCs w:val="22"/>
    </w:rPr>
  </w:style>
  <w:style w:type="table" w:styleId="af1">
    <w:name w:val="Table Grid"/>
    <w:basedOn w:val="a1"/>
    <w:uiPriority w:val="59"/>
    <w:rsid w:val="00570F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70F05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70F05"/>
    <w:rPr>
      <w:color w:val="808080"/>
    </w:rPr>
  </w:style>
  <w:style w:type="table" w:customStyle="1" w:styleId="12">
    <w:name w:val="Сетка таблицы1"/>
    <w:basedOn w:val="a1"/>
    <w:next w:val="af1"/>
    <w:uiPriority w:val="59"/>
    <w:rsid w:val="00570F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05"/>
    <w:pPr>
      <w:autoSpaceDE w:val="0"/>
      <w:autoSpaceDN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F05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70F05"/>
    <w:pPr>
      <w:keepNext/>
      <w:ind w:right="-1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70F05"/>
    <w:pPr>
      <w:keepNext/>
      <w:tabs>
        <w:tab w:val="left" w:pos="397"/>
        <w:tab w:val="left" w:pos="737"/>
      </w:tabs>
      <w:ind w:left="-709" w:right="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70F05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70F05"/>
    <w:pPr>
      <w:keepNext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F05"/>
    <w:rPr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rsid w:val="00570F05"/>
    <w:rPr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570F05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70F05"/>
    <w:rPr>
      <w:b/>
      <w:sz w:val="2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70F05"/>
    <w:rPr>
      <w:b/>
      <w:sz w:val="22"/>
      <w:szCs w:val="24"/>
      <w:lang w:eastAsia="ru-RU"/>
    </w:rPr>
  </w:style>
  <w:style w:type="paragraph" w:styleId="a3">
    <w:name w:val="Title"/>
    <w:basedOn w:val="a"/>
    <w:link w:val="a4"/>
    <w:qFormat/>
    <w:rsid w:val="00570F0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70F05"/>
    <w:rPr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570F05"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rsid w:val="00570F05"/>
    <w:rPr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7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0F05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7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0F05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0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0F05"/>
    <w:rPr>
      <w:rFonts w:ascii="Tahoma" w:hAnsi="Tahoma" w:cs="Tahoma"/>
      <w:sz w:val="16"/>
      <w:szCs w:val="16"/>
      <w:lang w:eastAsia="ru-RU"/>
    </w:rPr>
  </w:style>
  <w:style w:type="character" w:styleId="ad">
    <w:name w:val="Hyperlink"/>
    <w:basedOn w:val="a0"/>
    <w:semiHidden/>
    <w:unhideWhenUsed/>
    <w:rsid w:val="00570F05"/>
    <w:rPr>
      <w:color w:val="0066CC"/>
      <w:u w:val="single"/>
    </w:rPr>
  </w:style>
  <w:style w:type="character" w:customStyle="1" w:styleId="ae">
    <w:name w:val="Основной текст_"/>
    <w:basedOn w:val="a0"/>
    <w:link w:val="21"/>
    <w:locked/>
    <w:rsid w:val="00570F05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570F05"/>
    <w:pPr>
      <w:widowControl w:val="0"/>
      <w:shd w:val="clear" w:color="auto" w:fill="FFFFFF"/>
      <w:autoSpaceDE/>
      <w:autoSpaceDN/>
      <w:spacing w:before="60" w:after="420" w:line="0" w:lineRule="atLeast"/>
    </w:pPr>
    <w:rPr>
      <w:sz w:val="25"/>
      <w:szCs w:val="25"/>
      <w:lang w:eastAsia="en-US"/>
    </w:rPr>
  </w:style>
  <w:style w:type="character" w:customStyle="1" w:styleId="af">
    <w:name w:val="Основной текст + Полужирный"/>
    <w:basedOn w:val="ae"/>
    <w:rsid w:val="00570F05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570F05"/>
    <w:rPr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styleId="af0">
    <w:name w:val="No Spacing"/>
    <w:uiPriority w:val="1"/>
    <w:qFormat/>
    <w:rsid w:val="00570F05"/>
    <w:rPr>
      <w:rFonts w:asciiTheme="minorHAnsi" w:eastAsiaTheme="minorHAnsi" w:hAnsiTheme="minorHAnsi" w:cstheme="minorBidi"/>
      <w:sz w:val="22"/>
      <w:szCs w:val="22"/>
    </w:rPr>
  </w:style>
  <w:style w:type="table" w:styleId="af1">
    <w:name w:val="Table Grid"/>
    <w:basedOn w:val="a1"/>
    <w:uiPriority w:val="59"/>
    <w:rsid w:val="00570F0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70F05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570F05"/>
    <w:rPr>
      <w:color w:val="808080"/>
    </w:rPr>
  </w:style>
  <w:style w:type="table" w:customStyle="1" w:styleId="12">
    <w:name w:val="Сетка таблицы1"/>
    <w:basedOn w:val="a1"/>
    <w:next w:val="af1"/>
    <w:uiPriority w:val="59"/>
    <w:rsid w:val="00570F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D335E-A484-48B9-BEB4-DA71E8E4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3556</Words>
  <Characters>20271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23780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РОСМЕДПРОМ</dc:creator>
  <cp:lastModifiedBy>Славинская Наталья Альбертовна</cp:lastModifiedBy>
  <cp:revision>2</cp:revision>
  <cp:lastPrinted>2017-06-05T11:13:00Z</cp:lastPrinted>
  <dcterms:created xsi:type="dcterms:W3CDTF">2017-06-07T06:33:00Z</dcterms:created>
  <dcterms:modified xsi:type="dcterms:W3CDTF">2017-06-07T06:33:00Z</dcterms:modified>
</cp:coreProperties>
</file>