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jc w:val="center"/>
        <w:tblLook w:val="04A0" w:firstRow="1" w:lastRow="0" w:firstColumn="1" w:lastColumn="0" w:noHBand="0" w:noVBand="1"/>
      </w:tblPr>
      <w:tblGrid>
        <w:gridCol w:w="3510"/>
        <w:gridCol w:w="6452"/>
      </w:tblGrid>
      <w:tr w:rsidR="00D601EF" w:rsidRPr="00051FC8" w:rsidTr="005F0478">
        <w:trPr>
          <w:jc w:val="center"/>
        </w:trPr>
        <w:tc>
          <w:tcPr>
            <w:tcW w:w="9962" w:type="dxa"/>
            <w:gridSpan w:val="2"/>
            <w:shd w:val="clear" w:color="auto" w:fill="F2F2F2" w:themeFill="background1" w:themeFillShade="F2"/>
            <w:tcMar>
              <w:top w:w="28" w:type="dxa"/>
              <w:bottom w:w="28" w:type="dxa"/>
            </w:tcMar>
          </w:tcPr>
          <w:p w:rsidR="00D601EF" w:rsidRPr="00051FC8" w:rsidRDefault="00D601EF" w:rsidP="00D601EF">
            <w:pPr>
              <w:jc w:val="center"/>
              <w:rPr>
                <w:rFonts w:cstheme="minorHAnsi"/>
                <w:b/>
                <w:sz w:val="24"/>
                <w:szCs w:val="20"/>
              </w:rPr>
            </w:pPr>
            <w:r w:rsidRPr="00051FC8">
              <w:rPr>
                <w:rFonts w:cstheme="minorHAnsi"/>
                <w:b/>
                <w:sz w:val="24"/>
                <w:szCs w:val="20"/>
              </w:rPr>
              <w:t>По возможности, укажите:</w:t>
            </w:r>
          </w:p>
        </w:tc>
      </w:tr>
      <w:tr w:rsidR="00D601EF" w:rsidRPr="00051FC8" w:rsidTr="005F0478">
        <w:trPr>
          <w:jc w:val="center"/>
        </w:trPr>
        <w:tc>
          <w:tcPr>
            <w:tcW w:w="3510" w:type="dxa"/>
            <w:shd w:val="clear" w:color="auto" w:fill="F2F2F2" w:themeFill="background1" w:themeFillShade="F2"/>
            <w:tcMar>
              <w:top w:w="28" w:type="dxa"/>
              <w:bottom w:w="28" w:type="dxa"/>
            </w:tcMar>
          </w:tcPr>
          <w:p w:rsidR="00D601EF" w:rsidRPr="00051FC8" w:rsidRDefault="00D601EF" w:rsidP="00D601EF">
            <w:pPr>
              <w:rPr>
                <w:rFonts w:cstheme="minorHAnsi"/>
                <w:sz w:val="24"/>
                <w:szCs w:val="20"/>
              </w:rPr>
            </w:pPr>
            <w:r w:rsidRPr="00051FC8">
              <w:rPr>
                <w:rFonts w:cstheme="minorHAnsi"/>
                <w:sz w:val="24"/>
                <w:szCs w:val="20"/>
              </w:rPr>
              <w:t>Наименование организации:</w:t>
            </w:r>
          </w:p>
        </w:tc>
        <w:tc>
          <w:tcPr>
            <w:tcW w:w="6452" w:type="dxa"/>
            <w:shd w:val="clear" w:color="auto" w:fill="auto"/>
            <w:tcMar>
              <w:top w:w="28" w:type="dxa"/>
              <w:bottom w:w="28" w:type="dxa"/>
            </w:tcMar>
            <w:vAlign w:val="center"/>
          </w:tcPr>
          <w:p w:rsidR="00051FC8" w:rsidRPr="00051FC8" w:rsidRDefault="001863CB" w:rsidP="00D601EF">
            <w:pPr>
              <w:rPr>
                <w:rFonts w:cstheme="minorHAnsi"/>
                <w:sz w:val="24"/>
                <w:szCs w:val="20"/>
              </w:rPr>
            </w:pPr>
            <w:r>
              <w:rPr>
                <w:rFonts w:cstheme="minorHAnsi"/>
                <w:sz w:val="24"/>
                <w:szCs w:val="20"/>
              </w:rPr>
              <w:t>Банк ВТБ (ПАО)</w:t>
            </w:r>
          </w:p>
        </w:tc>
      </w:tr>
      <w:tr w:rsidR="00D601EF" w:rsidRPr="00051FC8" w:rsidTr="005F0478">
        <w:trPr>
          <w:jc w:val="center"/>
        </w:trPr>
        <w:tc>
          <w:tcPr>
            <w:tcW w:w="3510" w:type="dxa"/>
            <w:shd w:val="clear" w:color="auto" w:fill="F2F2F2" w:themeFill="background1" w:themeFillShade="F2"/>
            <w:tcMar>
              <w:top w:w="28" w:type="dxa"/>
              <w:bottom w:w="28" w:type="dxa"/>
            </w:tcMar>
          </w:tcPr>
          <w:p w:rsidR="00D601EF" w:rsidRPr="00051FC8" w:rsidRDefault="00D601EF" w:rsidP="00D601EF">
            <w:pPr>
              <w:rPr>
                <w:rFonts w:cstheme="minorHAnsi"/>
                <w:sz w:val="24"/>
                <w:szCs w:val="20"/>
              </w:rPr>
            </w:pPr>
            <w:r w:rsidRPr="00051FC8">
              <w:rPr>
                <w:rFonts w:cstheme="minorHAnsi"/>
                <w:sz w:val="24"/>
                <w:szCs w:val="20"/>
              </w:rPr>
              <w:t>Сферу деятельности организации:</w:t>
            </w:r>
          </w:p>
        </w:tc>
        <w:tc>
          <w:tcPr>
            <w:tcW w:w="6452" w:type="dxa"/>
            <w:shd w:val="clear" w:color="auto" w:fill="auto"/>
            <w:tcMar>
              <w:top w:w="28" w:type="dxa"/>
              <w:bottom w:w="28" w:type="dxa"/>
            </w:tcMar>
            <w:vAlign w:val="center"/>
          </w:tcPr>
          <w:p w:rsidR="00D601EF" w:rsidRPr="00051FC8" w:rsidRDefault="001863CB" w:rsidP="00D601EF">
            <w:pPr>
              <w:rPr>
                <w:rFonts w:cstheme="minorHAnsi"/>
                <w:sz w:val="24"/>
                <w:szCs w:val="20"/>
              </w:rPr>
            </w:pPr>
            <w:r>
              <w:rPr>
                <w:rFonts w:cstheme="minorHAnsi"/>
                <w:sz w:val="24"/>
                <w:szCs w:val="20"/>
              </w:rPr>
              <w:t>Финансовая организация</w:t>
            </w:r>
          </w:p>
        </w:tc>
      </w:tr>
      <w:tr w:rsidR="00D601EF" w:rsidRPr="00051FC8" w:rsidTr="005F0478">
        <w:trPr>
          <w:jc w:val="center"/>
        </w:trPr>
        <w:tc>
          <w:tcPr>
            <w:tcW w:w="3510" w:type="dxa"/>
            <w:shd w:val="clear" w:color="auto" w:fill="F2F2F2" w:themeFill="background1" w:themeFillShade="F2"/>
            <w:tcMar>
              <w:top w:w="28" w:type="dxa"/>
              <w:bottom w:w="28" w:type="dxa"/>
            </w:tcMar>
          </w:tcPr>
          <w:p w:rsidR="00D601EF" w:rsidRPr="00051FC8" w:rsidRDefault="00D601EF" w:rsidP="00D601EF">
            <w:pPr>
              <w:rPr>
                <w:rFonts w:cstheme="minorHAnsi"/>
                <w:sz w:val="24"/>
                <w:szCs w:val="20"/>
              </w:rPr>
            </w:pPr>
            <w:r w:rsidRPr="00051FC8">
              <w:rPr>
                <w:rFonts w:cstheme="minorHAnsi"/>
                <w:sz w:val="24"/>
                <w:szCs w:val="20"/>
              </w:rPr>
              <w:t>Ф.И.О. контактного лица:</w:t>
            </w:r>
          </w:p>
        </w:tc>
        <w:tc>
          <w:tcPr>
            <w:tcW w:w="6452" w:type="dxa"/>
            <w:shd w:val="clear" w:color="auto" w:fill="auto"/>
            <w:tcMar>
              <w:top w:w="28" w:type="dxa"/>
              <w:bottom w:w="28" w:type="dxa"/>
            </w:tcMar>
            <w:vAlign w:val="center"/>
          </w:tcPr>
          <w:p w:rsidR="00D601EF" w:rsidRPr="00051FC8" w:rsidRDefault="00004959" w:rsidP="00D601EF">
            <w:pPr>
              <w:rPr>
                <w:rFonts w:cstheme="minorHAnsi"/>
                <w:sz w:val="24"/>
                <w:szCs w:val="20"/>
              </w:rPr>
            </w:pPr>
            <w:r>
              <w:rPr>
                <w:rFonts w:cstheme="minorHAnsi"/>
                <w:sz w:val="24"/>
                <w:szCs w:val="20"/>
              </w:rPr>
              <w:t>Комиссия РСПП по банкам и банковской деятельности</w:t>
            </w:r>
          </w:p>
        </w:tc>
      </w:tr>
      <w:tr w:rsidR="00D601EF" w:rsidRPr="00051FC8" w:rsidTr="005F0478">
        <w:trPr>
          <w:jc w:val="center"/>
        </w:trPr>
        <w:tc>
          <w:tcPr>
            <w:tcW w:w="3510" w:type="dxa"/>
            <w:shd w:val="clear" w:color="auto" w:fill="F2F2F2" w:themeFill="background1" w:themeFillShade="F2"/>
            <w:tcMar>
              <w:top w:w="28" w:type="dxa"/>
              <w:bottom w:w="28" w:type="dxa"/>
            </w:tcMar>
          </w:tcPr>
          <w:p w:rsidR="00D601EF" w:rsidRPr="00051FC8" w:rsidRDefault="00D601EF" w:rsidP="00D601EF">
            <w:pPr>
              <w:rPr>
                <w:rFonts w:cstheme="minorHAnsi"/>
                <w:sz w:val="24"/>
                <w:szCs w:val="20"/>
              </w:rPr>
            </w:pPr>
            <w:r w:rsidRPr="00051FC8">
              <w:rPr>
                <w:rFonts w:cstheme="minorHAnsi"/>
                <w:sz w:val="24"/>
                <w:szCs w:val="20"/>
              </w:rPr>
              <w:t>Номер телефона:</w:t>
            </w:r>
          </w:p>
        </w:tc>
        <w:tc>
          <w:tcPr>
            <w:tcW w:w="6452" w:type="dxa"/>
            <w:shd w:val="clear" w:color="auto" w:fill="auto"/>
            <w:tcMar>
              <w:top w:w="28" w:type="dxa"/>
              <w:bottom w:w="28" w:type="dxa"/>
            </w:tcMar>
            <w:vAlign w:val="center"/>
          </w:tcPr>
          <w:p w:rsidR="00D601EF" w:rsidRPr="00051FC8" w:rsidRDefault="00004959" w:rsidP="001863CB">
            <w:pPr>
              <w:rPr>
                <w:rFonts w:cstheme="minorHAnsi"/>
                <w:sz w:val="24"/>
                <w:szCs w:val="20"/>
              </w:rPr>
            </w:pPr>
            <w:r>
              <w:rPr>
                <w:rFonts w:cstheme="minorHAnsi"/>
                <w:sz w:val="24"/>
                <w:szCs w:val="20"/>
              </w:rPr>
              <w:t>8-495-663-04-04 доб.1118</w:t>
            </w:r>
          </w:p>
        </w:tc>
      </w:tr>
      <w:tr w:rsidR="00D601EF" w:rsidRPr="00051FC8" w:rsidTr="005F0478">
        <w:trPr>
          <w:jc w:val="center"/>
        </w:trPr>
        <w:tc>
          <w:tcPr>
            <w:tcW w:w="3510" w:type="dxa"/>
            <w:shd w:val="clear" w:color="auto" w:fill="F2F2F2" w:themeFill="background1" w:themeFillShade="F2"/>
            <w:tcMar>
              <w:top w:w="28" w:type="dxa"/>
              <w:bottom w:w="28" w:type="dxa"/>
            </w:tcMar>
          </w:tcPr>
          <w:p w:rsidR="00D601EF" w:rsidRPr="00051FC8" w:rsidRDefault="00D601EF" w:rsidP="00D601EF">
            <w:pPr>
              <w:rPr>
                <w:rFonts w:cstheme="minorHAnsi"/>
                <w:sz w:val="24"/>
                <w:szCs w:val="20"/>
              </w:rPr>
            </w:pPr>
            <w:r w:rsidRPr="00051FC8">
              <w:rPr>
                <w:rFonts w:cstheme="minorHAnsi"/>
                <w:sz w:val="24"/>
                <w:szCs w:val="20"/>
              </w:rPr>
              <w:t>Адрес электронной почты:</w:t>
            </w:r>
          </w:p>
        </w:tc>
        <w:tc>
          <w:tcPr>
            <w:tcW w:w="6452" w:type="dxa"/>
            <w:shd w:val="clear" w:color="auto" w:fill="auto"/>
            <w:tcMar>
              <w:top w:w="28" w:type="dxa"/>
              <w:bottom w:w="28" w:type="dxa"/>
            </w:tcMar>
            <w:vAlign w:val="center"/>
          </w:tcPr>
          <w:p w:rsidR="00D601EF" w:rsidRPr="00004959" w:rsidRDefault="00004959" w:rsidP="00D601EF">
            <w:pPr>
              <w:rPr>
                <w:rFonts w:cstheme="minorHAnsi"/>
                <w:sz w:val="24"/>
                <w:szCs w:val="20"/>
                <w:lang w:val="en-US"/>
              </w:rPr>
            </w:pPr>
            <w:r>
              <w:rPr>
                <w:rFonts w:cstheme="minorHAnsi"/>
                <w:sz w:val="24"/>
                <w:szCs w:val="20"/>
                <w:lang w:val="en-US"/>
              </w:rPr>
              <w:t>Denisovaav@rspp.ru</w:t>
            </w:r>
          </w:p>
        </w:tc>
      </w:tr>
    </w:tbl>
    <w:p w:rsidR="00D55731" w:rsidRPr="00051FC8" w:rsidRDefault="000F4752" w:rsidP="00051FC8">
      <w:pPr>
        <w:spacing w:before="960" w:after="0" w:line="240" w:lineRule="auto"/>
        <w:jc w:val="center"/>
        <w:rPr>
          <w:rFonts w:cstheme="minorHAnsi"/>
          <w:b/>
          <w:sz w:val="32"/>
          <w:szCs w:val="28"/>
        </w:rPr>
      </w:pPr>
      <w:r w:rsidRPr="00051FC8">
        <w:rPr>
          <w:rFonts w:cstheme="minorHAnsi"/>
          <w:b/>
          <w:sz w:val="32"/>
          <w:szCs w:val="28"/>
        </w:rPr>
        <w:t>ПУБЛИЧНЫЕ КОНСУЛЬТАЦИИ</w:t>
      </w:r>
    </w:p>
    <w:p w:rsidR="00652F9D" w:rsidRDefault="00D55731" w:rsidP="00D601EF">
      <w:pPr>
        <w:spacing w:after="360" w:line="240" w:lineRule="auto"/>
        <w:jc w:val="center"/>
        <w:rPr>
          <w:rFonts w:cstheme="minorHAnsi"/>
          <w:sz w:val="28"/>
          <w:szCs w:val="28"/>
        </w:rPr>
      </w:pPr>
      <w:r w:rsidRPr="000F4752">
        <w:rPr>
          <w:rFonts w:cstheme="minorHAnsi"/>
          <w:sz w:val="28"/>
          <w:szCs w:val="28"/>
        </w:rPr>
        <w:t>по проекту акта в рамках проведения оценки регулирующего воздействия</w:t>
      </w:r>
    </w:p>
    <w:tbl>
      <w:tblPr>
        <w:tblStyle w:val="a9"/>
        <w:tblW w:w="0" w:type="auto"/>
        <w:jc w:val="center"/>
        <w:tblLook w:val="04A0" w:firstRow="1" w:lastRow="0" w:firstColumn="1" w:lastColumn="0" w:noHBand="0" w:noVBand="1"/>
      </w:tblPr>
      <w:tblGrid>
        <w:gridCol w:w="5070"/>
        <w:gridCol w:w="4892"/>
      </w:tblGrid>
      <w:tr w:rsidR="005A2E85" w:rsidRPr="00051FC8" w:rsidTr="005F0478">
        <w:trPr>
          <w:jc w:val="center"/>
        </w:trPr>
        <w:tc>
          <w:tcPr>
            <w:tcW w:w="5070" w:type="dxa"/>
            <w:shd w:val="clear" w:color="auto" w:fill="F2F2F2" w:themeFill="background1" w:themeFillShade="F2"/>
            <w:tcMar>
              <w:top w:w="57" w:type="dxa"/>
              <w:bottom w:w="57" w:type="dxa"/>
            </w:tcMar>
            <w:vAlign w:val="center"/>
          </w:tcPr>
          <w:p w:rsidR="005A2E85" w:rsidRPr="00051FC8" w:rsidRDefault="00067770" w:rsidP="004338CE">
            <w:pPr>
              <w:rPr>
                <w:rFonts w:cstheme="minorHAnsi"/>
                <w:sz w:val="24"/>
                <w:szCs w:val="28"/>
              </w:rPr>
            </w:pPr>
            <w:r w:rsidRPr="00051FC8">
              <w:rPr>
                <w:rFonts w:cstheme="minorHAnsi"/>
                <w:sz w:val="24"/>
                <w:szCs w:val="28"/>
              </w:rPr>
              <w:t>Срок направления информации</w:t>
            </w:r>
            <w:r w:rsidR="00B43F38" w:rsidRPr="00051FC8">
              <w:rPr>
                <w:rFonts w:cstheme="minorHAnsi"/>
                <w:sz w:val="24"/>
                <w:szCs w:val="28"/>
              </w:rPr>
              <w:t xml:space="preserve"> </w:t>
            </w:r>
            <w:r w:rsidR="004338CE" w:rsidRPr="00051FC8">
              <w:rPr>
                <w:rFonts w:cstheme="minorHAnsi"/>
                <w:sz w:val="24"/>
                <w:szCs w:val="28"/>
              </w:rPr>
              <w:t xml:space="preserve">– </w:t>
            </w:r>
            <w:r w:rsidR="005A2E85" w:rsidRPr="00051FC8">
              <w:rPr>
                <w:rFonts w:cstheme="minorHAnsi"/>
                <w:sz w:val="24"/>
                <w:szCs w:val="28"/>
              </w:rPr>
              <w:t>не позднее</w:t>
            </w:r>
            <w:r w:rsidR="009D4D0D" w:rsidRPr="00051FC8">
              <w:rPr>
                <w:rFonts w:cstheme="minorHAnsi"/>
                <w:sz w:val="24"/>
                <w:szCs w:val="28"/>
              </w:rPr>
              <w:t>:</w:t>
            </w:r>
          </w:p>
        </w:tc>
        <w:tc>
          <w:tcPr>
            <w:tcW w:w="4892" w:type="dxa"/>
            <w:tcMar>
              <w:top w:w="57" w:type="dxa"/>
              <w:bottom w:w="57" w:type="dxa"/>
            </w:tcMar>
            <w:vAlign w:val="center"/>
          </w:tcPr>
          <w:p w:rsidR="005A2E85" w:rsidRPr="00051FC8" w:rsidRDefault="00B62611" w:rsidP="00AB7BD4">
            <w:pPr>
              <w:jc w:val="center"/>
              <w:rPr>
                <w:rFonts w:cstheme="minorHAnsi"/>
                <w:b/>
                <w:sz w:val="24"/>
                <w:szCs w:val="28"/>
              </w:rPr>
            </w:pPr>
            <w:r>
              <w:rPr>
                <w:rFonts w:cstheme="minorHAnsi"/>
                <w:b/>
                <w:sz w:val="24"/>
                <w:szCs w:val="28"/>
              </w:rPr>
              <w:t>06</w:t>
            </w:r>
            <w:r w:rsidR="00F63151">
              <w:rPr>
                <w:rFonts w:cstheme="minorHAnsi"/>
                <w:b/>
                <w:sz w:val="24"/>
                <w:szCs w:val="28"/>
              </w:rPr>
              <w:t>.</w:t>
            </w:r>
            <w:r w:rsidR="0044290E">
              <w:rPr>
                <w:rFonts w:cstheme="minorHAnsi"/>
                <w:b/>
                <w:sz w:val="24"/>
                <w:szCs w:val="28"/>
              </w:rPr>
              <w:t>0</w:t>
            </w:r>
            <w:r>
              <w:rPr>
                <w:rFonts w:cstheme="minorHAnsi"/>
                <w:b/>
                <w:sz w:val="24"/>
                <w:szCs w:val="28"/>
              </w:rPr>
              <w:t>6</w:t>
            </w:r>
            <w:r w:rsidR="00F63151">
              <w:rPr>
                <w:rFonts w:cstheme="minorHAnsi"/>
                <w:b/>
                <w:sz w:val="24"/>
                <w:szCs w:val="28"/>
              </w:rPr>
              <w:t>.201</w:t>
            </w:r>
            <w:r>
              <w:rPr>
                <w:rFonts w:cstheme="minorHAnsi"/>
                <w:b/>
                <w:sz w:val="24"/>
                <w:szCs w:val="28"/>
              </w:rPr>
              <w:t>8</w:t>
            </w:r>
          </w:p>
        </w:tc>
      </w:tr>
      <w:tr w:rsidR="005A2E85" w:rsidRPr="00051FC8" w:rsidTr="005F0478">
        <w:trPr>
          <w:jc w:val="center"/>
        </w:trPr>
        <w:tc>
          <w:tcPr>
            <w:tcW w:w="5070" w:type="dxa"/>
            <w:shd w:val="clear" w:color="auto" w:fill="F2F2F2" w:themeFill="background1" w:themeFillShade="F2"/>
            <w:tcMar>
              <w:top w:w="57" w:type="dxa"/>
              <w:bottom w:w="57" w:type="dxa"/>
            </w:tcMar>
            <w:vAlign w:val="center"/>
          </w:tcPr>
          <w:p w:rsidR="005A2E85" w:rsidRPr="00051FC8" w:rsidRDefault="005A2E85" w:rsidP="0033609E">
            <w:pPr>
              <w:rPr>
                <w:rFonts w:cstheme="minorHAnsi"/>
                <w:sz w:val="24"/>
                <w:szCs w:val="28"/>
              </w:rPr>
            </w:pPr>
            <w:r w:rsidRPr="00051FC8">
              <w:rPr>
                <w:rFonts w:cstheme="minorHAnsi"/>
                <w:sz w:val="24"/>
                <w:szCs w:val="28"/>
              </w:rPr>
              <w:t>Адрес электронной почты для направления информации:</w:t>
            </w:r>
          </w:p>
        </w:tc>
        <w:tc>
          <w:tcPr>
            <w:tcW w:w="4892" w:type="dxa"/>
            <w:tcMar>
              <w:top w:w="57" w:type="dxa"/>
              <w:bottom w:w="57" w:type="dxa"/>
            </w:tcMar>
            <w:vAlign w:val="center"/>
          </w:tcPr>
          <w:p w:rsidR="005A2E85" w:rsidRPr="0044290E" w:rsidRDefault="005B6774" w:rsidP="009D4D0D">
            <w:pPr>
              <w:jc w:val="center"/>
              <w:rPr>
                <w:rFonts w:cstheme="minorHAnsi"/>
                <w:sz w:val="24"/>
                <w:szCs w:val="28"/>
              </w:rPr>
            </w:pPr>
            <w:proofErr w:type="spellStart"/>
            <w:r w:rsidRPr="005B6774">
              <w:rPr>
                <w:color w:val="000000"/>
                <w:sz w:val="26"/>
                <w:szCs w:val="26"/>
                <w:lang w:val="en-US"/>
              </w:rPr>
              <w:t>ValutskiyNI</w:t>
            </w:r>
            <w:proofErr w:type="spellEnd"/>
            <w:r w:rsidRPr="0044290E">
              <w:rPr>
                <w:color w:val="000000"/>
                <w:sz w:val="26"/>
                <w:szCs w:val="26"/>
              </w:rPr>
              <w:t>@</w:t>
            </w:r>
            <w:r w:rsidRPr="005B6774">
              <w:rPr>
                <w:color w:val="000000"/>
                <w:sz w:val="26"/>
                <w:szCs w:val="26"/>
                <w:lang w:val="en-US"/>
              </w:rPr>
              <w:t>economy</w:t>
            </w:r>
            <w:r w:rsidRPr="0044290E">
              <w:rPr>
                <w:color w:val="000000"/>
                <w:sz w:val="26"/>
                <w:szCs w:val="26"/>
              </w:rPr>
              <w:t>.</w:t>
            </w:r>
            <w:proofErr w:type="spellStart"/>
            <w:r w:rsidRPr="005B6774">
              <w:rPr>
                <w:color w:val="000000"/>
                <w:sz w:val="26"/>
                <w:szCs w:val="26"/>
                <w:lang w:val="en-US"/>
              </w:rPr>
              <w:t>gov</w:t>
            </w:r>
            <w:proofErr w:type="spellEnd"/>
            <w:r w:rsidRPr="0044290E">
              <w:rPr>
                <w:color w:val="000000"/>
                <w:sz w:val="26"/>
                <w:szCs w:val="26"/>
              </w:rPr>
              <w:t>.</w:t>
            </w:r>
            <w:proofErr w:type="spellStart"/>
            <w:r w:rsidRPr="005B6774">
              <w:rPr>
                <w:color w:val="000000"/>
                <w:sz w:val="26"/>
                <w:szCs w:val="26"/>
                <w:lang w:val="en-US"/>
              </w:rPr>
              <w:t>ru</w:t>
            </w:r>
            <w:proofErr w:type="spellEnd"/>
          </w:p>
        </w:tc>
      </w:tr>
      <w:tr w:rsidR="005A2E85" w:rsidRPr="00051FC8" w:rsidTr="005F0478">
        <w:trPr>
          <w:jc w:val="center"/>
        </w:trPr>
        <w:tc>
          <w:tcPr>
            <w:tcW w:w="5070" w:type="dxa"/>
            <w:shd w:val="clear" w:color="auto" w:fill="F2F2F2" w:themeFill="background1" w:themeFillShade="F2"/>
            <w:tcMar>
              <w:top w:w="57" w:type="dxa"/>
              <w:bottom w:w="57" w:type="dxa"/>
            </w:tcMar>
            <w:vAlign w:val="center"/>
          </w:tcPr>
          <w:p w:rsidR="005A2E85" w:rsidRPr="00051FC8" w:rsidRDefault="005A2E85" w:rsidP="004338CE">
            <w:pPr>
              <w:rPr>
                <w:rFonts w:cstheme="minorHAnsi"/>
                <w:sz w:val="24"/>
                <w:szCs w:val="28"/>
              </w:rPr>
            </w:pPr>
            <w:r w:rsidRPr="00051FC8">
              <w:rPr>
                <w:rFonts w:cstheme="minorHAnsi"/>
                <w:sz w:val="24"/>
                <w:szCs w:val="28"/>
              </w:rPr>
              <w:t xml:space="preserve">Контактное лицо в Департаменте </w:t>
            </w:r>
            <w:r w:rsidR="004338CE" w:rsidRPr="00051FC8">
              <w:rPr>
                <w:rFonts w:cstheme="minorHAnsi"/>
                <w:sz w:val="24"/>
                <w:szCs w:val="28"/>
              </w:rPr>
              <w:br/>
            </w:r>
            <w:r w:rsidRPr="00051FC8">
              <w:rPr>
                <w:rFonts w:cstheme="minorHAnsi"/>
                <w:sz w:val="24"/>
                <w:szCs w:val="28"/>
              </w:rPr>
              <w:t>оценки регулирующего воздействия Минэкономразвития России:</w:t>
            </w:r>
          </w:p>
        </w:tc>
        <w:tc>
          <w:tcPr>
            <w:tcW w:w="4892" w:type="dxa"/>
            <w:tcMar>
              <w:top w:w="57" w:type="dxa"/>
              <w:bottom w:w="57" w:type="dxa"/>
            </w:tcMar>
            <w:vAlign w:val="center"/>
          </w:tcPr>
          <w:p w:rsidR="0033609E" w:rsidRPr="00051FC8" w:rsidRDefault="005B6774" w:rsidP="005B6774">
            <w:pPr>
              <w:jc w:val="center"/>
              <w:rPr>
                <w:rFonts w:cstheme="minorHAnsi"/>
                <w:sz w:val="24"/>
                <w:szCs w:val="28"/>
              </w:rPr>
            </w:pPr>
            <w:r>
              <w:rPr>
                <w:sz w:val="26"/>
                <w:szCs w:val="26"/>
              </w:rPr>
              <w:t>Валуцкий Никита Игоревич</w:t>
            </w:r>
            <w:r w:rsidR="00F63151" w:rsidRPr="008006CE">
              <w:rPr>
                <w:sz w:val="26"/>
                <w:szCs w:val="26"/>
              </w:rPr>
              <w:t xml:space="preserve"> </w:t>
            </w:r>
            <w:r w:rsidR="00F63151" w:rsidRPr="008006CE">
              <w:rPr>
                <w:sz w:val="26"/>
                <w:szCs w:val="26"/>
              </w:rPr>
              <w:br/>
              <w:t>тел. 8 (49</w:t>
            </w:r>
            <w:r w:rsidR="00F63151">
              <w:rPr>
                <w:sz w:val="26"/>
                <w:szCs w:val="26"/>
              </w:rPr>
              <w:t>5</w:t>
            </w:r>
            <w:r w:rsidR="00F63151" w:rsidRPr="008006CE">
              <w:rPr>
                <w:sz w:val="26"/>
                <w:szCs w:val="26"/>
              </w:rPr>
              <w:t xml:space="preserve">) </w:t>
            </w:r>
            <w:r w:rsidR="00F63151">
              <w:rPr>
                <w:sz w:val="26"/>
                <w:szCs w:val="26"/>
              </w:rPr>
              <w:t>650</w:t>
            </w:r>
            <w:r w:rsidR="00F63151" w:rsidRPr="008006CE">
              <w:rPr>
                <w:sz w:val="26"/>
                <w:szCs w:val="26"/>
              </w:rPr>
              <w:t>-</w:t>
            </w:r>
            <w:r w:rsidR="00F63151">
              <w:rPr>
                <w:sz w:val="26"/>
                <w:szCs w:val="26"/>
              </w:rPr>
              <w:t>87</w:t>
            </w:r>
            <w:r w:rsidR="00F63151" w:rsidRPr="008006CE">
              <w:rPr>
                <w:sz w:val="26"/>
                <w:szCs w:val="26"/>
              </w:rPr>
              <w:t>-</w:t>
            </w:r>
            <w:r w:rsidR="00F63151">
              <w:rPr>
                <w:sz w:val="26"/>
                <w:szCs w:val="26"/>
              </w:rPr>
              <w:t>00</w:t>
            </w:r>
            <w:r w:rsidR="00F63151">
              <w:rPr>
                <w:color w:val="000000"/>
                <w:sz w:val="26"/>
                <w:szCs w:val="26"/>
              </w:rPr>
              <w:t xml:space="preserve"> </w:t>
            </w:r>
            <w:r w:rsidR="00F63151">
              <w:rPr>
                <w:color w:val="000000"/>
                <w:sz w:val="26"/>
                <w:szCs w:val="26"/>
                <w:lang w:val="en-US"/>
              </w:rPr>
              <w:t>IP</w:t>
            </w:r>
            <w:r w:rsidR="00F63151">
              <w:rPr>
                <w:color w:val="000000"/>
                <w:sz w:val="26"/>
                <w:szCs w:val="26"/>
              </w:rPr>
              <w:t xml:space="preserve"> 26</w:t>
            </w:r>
            <w:r w:rsidR="00461CDD">
              <w:rPr>
                <w:color w:val="000000"/>
                <w:sz w:val="26"/>
                <w:szCs w:val="26"/>
              </w:rPr>
              <w:t>28</w:t>
            </w:r>
          </w:p>
        </w:tc>
      </w:tr>
    </w:tbl>
    <w:p w:rsidR="00D55731" w:rsidRPr="009D4D0D" w:rsidRDefault="009D4D0D" w:rsidP="00D601EF">
      <w:pPr>
        <w:spacing w:before="360"/>
        <w:ind w:firstLine="709"/>
        <w:rPr>
          <w:rFonts w:cstheme="minorHAnsi"/>
          <w:b/>
          <w:sz w:val="28"/>
          <w:szCs w:val="28"/>
        </w:rPr>
      </w:pPr>
      <w:r w:rsidRPr="009D4D0D">
        <w:rPr>
          <w:rFonts w:cstheme="minorHAnsi"/>
          <w:b/>
          <w:sz w:val="28"/>
          <w:szCs w:val="28"/>
        </w:rPr>
        <w:t>Общие сведения</w:t>
      </w:r>
      <w:r w:rsidR="0033609E">
        <w:rPr>
          <w:rFonts w:cstheme="minorHAnsi"/>
          <w:b/>
          <w:sz w:val="28"/>
          <w:szCs w:val="28"/>
        </w:rPr>
        <w:t xml:space="preserve"> о проекте акта</w:t>
      </w:r>
      <w:r>
        <w:rPr>
          <w:rFonts w:cstheme="minorHAnsi"/>
          <w:b/>
          <w:sz w:val="28"/>
          <w:szCs w:val="28"/>
        </w:rPr>
        <w:t>:</w:t>
      </w:r>
    </w:p>
    <w:tbl>
      <w:tblPr>
        <w:tblStyle w:val="a9"/>
        <w:tblW w:w="0" w:type="auto"/>
        <w:jc w:val="center"/>
        <w:tblLook w:val="04A0" w:firstRow="1" w:lastRow="0" w:firstColumn="1" w:lastColumn="0" w:noHBand="0" w:noVBand="1"/>
      </w:tblPr>
      <w:tblGrid>
        <w:gridCol w:w="2943"/>
        <w:gridCol w:w="7019"/>
      </w:tblGrid>
      <w:tr w:rsidR="0033609E" w:rsidRPr="00051FC8" w:rsidTr="005F0478">
        <w:trPr>
          <w:jc w:val="center"/>
        </w:trPr>
        <w:tc>
          <w:tcPr>
            <w:tcW w:w="2943" w:type="dxa"/>
            <w:shd w:val="clear" w:color="auto" w:fill="F2F2F2" w:themeFill="background1" w:themeFillShade="F2"/>
            <w:tcMar>
              <w:top w:w="57" w:type="dxa"/>
              <w:bottom w:w="57" w:type="dxa"/>
            </w:tcMar>
            <w:vAlign w:val="center"/>
          </w:tcPr>
          <w:p w:rsidR="0033609E" w:rsidRPr="00051FC8" w:rsidRDefault="0033609E" w:rsidP="00573E6C">
            <w:pPr>
              <w:jc w:val="both"/>
              <w:rPr>
                <w:rFonts w:cstheme="minorHAnsi"/>
                <w:sz w:val="24"/>
                <w:szCs w:val="28"/>
              </w:rPr>
            </w:pPr>
            <w:r w:rsidRPr="00051FC8">
              <w:rPr>
                <w:rFonts w:cstheme="minorHAnsi"/>
                <w:sz w:val="24"/>
                <w:szCs w:val="28"/>
              </w:rPr>
              <w:t>Сфера государственного регулирования:</w:t>
            </w:r>
          </w:p>
        </w:tc>
        <w:tc>
          <w:tcPr>
            <w:tcW w:w="7019" w:type="dxa"/>
            <w:tcMar>
              <w:top w:w="57" w:type="dxa"/>
              <w:bottom w:w="57" w:type="dxa"/>
            </w:tcMar>
            <w:vAlign w:val="center"/>
          </w:tcPr>
          <w:p w:rsidR="0033609E" w:rsidRPr="00051FC8" w:rsidRDefault="00461CDD" w:rsidP="00F63151">
            <w:pPr>
              <w:jc w:val="center"/>
              <w:rPr>
                <w:rFonts w:cstheme="minorHAnsi"/>
                <w:sz w:val="24"/>
                <w:szCs w:val="28"/>
              </w:rPr>
            </w:pPr>
            <w:r>
              <w:rPr>
                <w:rFonts w:cstheme="minorHAnsi"/>
                <w:sz w:val="24"/>
                <w:szCs w:val="28"/>
              </w:rPr>
              <w:t>Закупки отдельными видами юридических лиц</w:t>
            </w:r>
          </w:p>
        </w:tc>
      </w:tr>
      <w:tr w:rsidR="009D4D0D" w:rsidRPr="00051FC8" w:rsidTr="005F0478">
        <w:trPr>
          <w:jc w:val="center"/>
        </w:trPr>
        <w:tc>
          <w:tcPr>
            <w:tcW w:w="2943" w:type="dxa"/>
            <w:shd w:val="clear" w:color="auto" w:fill="F2F2F2" w:themeFill="background1" w:themeFillShade="F2"/>
            <w:tcMar>
              <w:top w:w="57" w:type="dxa"/>
              <w:bottom w:w="57" w:type="dxa"/>
            </w:tcMar>
            <w:vAlign w:val="center"/>
          </w:tcPr>
          <w:p w:rsidR="009D4D0D" w:rsidRPr="00051FC8" w:rsidRDefault="00505A82" w:rsidP="00505A82">
            <w:pPr>
              <w:jc w:val="both"/>
              <w:rPr>
                <w:rFonts w:cstheme="minorHAnsi"/>
                <w:sz w:val="24"/>
                <w:szCs w:val="28"/>
              </w:rPr>
            </w:pPr>
            <w:r>
              <w:rPr>
                <w:rFonts w:cstheme="minorHAnsi"/>
                <w:sz w:val="24"/>
                <w:szCs w:val="28"/>
              </w:rPr>
              <w:t>Вид и н</w:t>
            </w:r>
            <w:r w:rsidR="009D4D0D" w:rsidRPr="00051FC8">
              <w:rPr>
                <w:rFonts w:cstheme="minorHAnsi"/>
                <w:sz w:val="24"/>
                <w:szCs w:val="28"/>
              </w:rPr>
              <w:t>аименование</w:t>
            </w:r>
            <w:r w:rsidR="0033609E" w:rsidRPr="00051FC8">
              <w:rPr>
                <w:rFonts w:cstheme="minorHAnsi"/>
                <w:sz w:val="24"/>
                <w:szCs w:val="28"/>
              </w:rPr>
              <w:t>:</w:t>
            </w:r>
          </w:p>
        </w:tc>
        <w:tc>
          <w:tcPr>
            <w:tcW w:w="7019" w:type="dxa"/>
            <w:tcMar>
              <w:top w:w="57" w:type="dxa"/>
              <w:bottom w:w="57" w:type="dxa"/>
            </w:tcMar>
            <w:vAlign w:val="center"/>
          </w:tcPr>
          <w:p w:rsidR="00051FC8" w:rsidRPr="00051FC8" w:rsidRDefault="00461CDD" w:rsidP="00B62611">
            <w:pPr>
              <w:jc w:val="both"/>
              <w:rPr>
                <w:rFonts w:cstheme="minorHAnsi"/>
                <w:sz w:val="24"/>
                <w:szCs w:val="28"/>
              </w:rPr>
            </w:pPr>
            <w:r>
              <w:rPr>
                <w:color w:val="000000"/>
                <w:sz w:val="26"/>
                <w:szCs w:val="26"/>
              </w:rPr>
              <w:t xml:space="preserve">Проект федерального закона </w:t>
            </w:r>
            <w:r w:rsidR="0044290E">
              <w:rPr>
                <w:color w:val="000000"/>
                <w:sz w:val="26"/>
                <w:szCs w:val="26"/>
              </w:rPr>
              <w:t>«</w:t>
            </w:r>
            <w:r w:rsidR="00B62611" w:rsidRPr="00B62611">
              <w:rPr>
                <w:color w:val="000000"/>
                <w:sz w:val="26"/>
                <w:szCs w:val="26"/>
              </w:rPr>
              <w:t>О внесении изменений в статьи 2, 3.4 и 4 Федерального закона «О закупках товаров, работ, услуг отдельными видами юридических лиц</w:t>
            </w:r>
            <w:r w:rsidR="00AB7BD4">
              <w:rPr>
                <w:color w:val="000000"/>
                <w:sz w:val="26"/>
                <w:szCs w:val="26"/>
              </w:rPr>
              <w:t>»</w:t>
            </w:r>
          </w:p>
        </w:tc>
      </w:tr>
      <w:tr w:rsidR="009D4D0D" w:rsidRPr="00051FC8" w:rsidTr="005F0478">
        <w:trPr>
          <w:jc w:val="center"/>
        </w:trPr>
        <w:tc>
          <w:tcPr>
            <w:tcW w:w="2943" w:type="dxa"/>
            <w:shd w:val="clear" w:color="auto" w:fill="F2F2F2" w:themeFill="background1" w:themeFillShade="F2"/>
            <w:tcMar>
              <w:top w:w="57" w:type="dxa"/>
              <w:bottom w:w="57" w:type="dxa"/>
            </w:tcMar>
            <w:vAlign w:val="center"/>
          </w:tcPr>
          <w:p w:rsidR="009D4D0D" w:rsidRPr="00051FC8" w:rsidRDefault="0033609E" w:rsidP="00573E6C">
            <w:pPr>
              <w:jc w:val="both"/>
              <w:rPr>
                <w:rFonts w:cstheme="minorHAnsi"/>
                <w:sz w:val="24"/>
                <w:szCs w:val="28"/>
              </w:rPr>
            </w:pPr>
            <w:r w:rsidRPr="00051FC8">
              <w:rPr>
                <w:rFonts w:cstheme="minorHAnsi"/>
                <w:sz w:val="24"/>
                <w:szCs w:val="28"/>
              </w:rPr>
              <w:t>Разработчик:</w:t>
            </w:r>
          </w:p>
        </w:tc>
        <w:tc>
          <w:tcPr>
            <w:tcW w:w="7019" w:type="dxa"/>
            <w:tcMar>
              <w:top w:w="57" w:type="dxa"/>
              <w:bottom w:w="57" w:type="dxa"/>
            </w:tcMar>
            <w:vAlign w:val="center"/>
          </w:tcPr>
          <w:p w:rsidR="009D4D0D" w:rsidRPr="00051FC8" w:rsidRDefault="00B62611" w:rsidP="00F63151">
            <w:pPr>
              <w:jc w:val="center"/>
              <w:rPr>
                <w:rFonts w:cstheme="minorHAnsi"/>
                <w:sz w:val="24"/>
                <w:szCs w:val="28"/>
              </w:rPr>
            </w:pPr>
            <w:r>
              <w:rPr>
                <w:rFonts w:cstheme="minorHAnsi"/>
                <w:sz w:val="24"/>
                <w:szCs w:val="28"/>
              </w:rPr>
              <w:t>Минфин</w:t>
            </w:r>
            <w:r w:rsidR="00F63151">
              <w:rPr>
                <w:rFonts w:cstheme="minorHAnsi"/>
                <w:sz w:val="24"/>
                <w:szCs w:val="28"/>
              </w:rPr>
              <w:t xml:space="preserve"> России</w:t>
            </w:r>
          </w:p>
        </w:tc>
      </w:tr>
      <w:tr w:rsidR="009D4D0D" w:rsidRPr="00F63151" w:rsidTr="005F0478">
        <w:trPr>
          <w:jc w:val="center"/>
        </w:trPr>
        <w:tc>
          <w:tcPr>
            <w:tcW w:w="2943" w:type="dxa"/>
            <w:shd w:val="clear" w:color="auto" w:fill="F2F2F2" w:themeFill="background1" w:themeFillShade="F2"/>
            <w:tcMar>
              <w:top w:w="57" w:type="dxa"/>
              <w:bottom w:w="57" w:type="dxa"/>
            </w:tcMar>
            <w:vAlign w:val="center"/>
          </w:tcPr>
          <w:p w:rsidR="009D4D0D" w:rsidRPr="005B6774" w:rsidRDefault="009D4D0D" w:rsidP="0033609E">
            <w:pPr>
              <w:rPr>
                <w:rFonts w:cstheme="minorHAnsi"/>
                <w:sz w:val="24"/>
                <w:szCs w:val="28"/>
                <w:lang w:val="en-US"/>
              </w:rPr>
            </w:pPr>
            <w:r w:rsidRPr="00051FC8">
              <w:rPr>
                <w:rFonts w:cstheme="minorHAnsi"/>
                <w:sz w:val="24"/>
                <w:szCs w:val="28"/>
                <w:lang w:val="en-US"/>
              </w:rPr>
              <w:t>ID</w:t>
            </w:r>
            <w:r w:rsidRPr="005B6774">
              <w:rPr>
                <w:rFonts w:cstheme="minorHAnsi"/>
                <w:sz w:val="24"/>
                <w:szCs w:val="28"/>
                <w:lang w:val="en-US"/>
              </w:rPr>
              <w:t xml:space="preserve"> </w:t>
            </w:r>
            <w:r w:rsidRPr="00051FC8">
              <w:rPr>
                <w:rFonts w:cstheme="minorHAnsi"/>
                <w:sz w:val="24"/>
                <w:szCs w:val="28"/>
              </w:rPr>
              <w:t>на</w:t>
            </w:r>
            <w:r w:rsidRPr="005B6774">
              <w:rPr>
                <w:rFonts w:cstheme="minorHAnsi"/>
                <w:sz w:val="24"/>
                <w:szCs w:val="28"/>
                <w:lang w:val="en-US"/>
              </w:rPr>
              <w:t xml:space="preserve"> </w:t>
            </w:r>
            <w:r w:rsidRPr="00051FC8">
              <w:rPr>
                <w:rFonts w:cstheme="minorHAnsi"/>
                <w:sz w:val="24"/>
                <w:szCs w:val="28"/>
                <w:lang w:val="en-US"/>
              </w:rPr>
              <w:t>regulation</w:t>
            </w:r>
            <w:r w:rsidRPr="005B6774">
              <w:rPr>
                <w:rFonts w:cstheme="minorHAnsi"/>
                <w:sz w:val="24"/>
                <w:szCs w:val="28"/>
                <w:lang w:val="en-US"/>
              </w:rPr>
              <w:t>.</w:t>
            </w:r>
            <w:r w:rsidRPr="00051FC8">
              <w:rPr>
                <w:rFonts w:cstheme="minorHAnsi"/>
                <w:sz w:val="24"/>
                <w:szCs w:val="28"/>
                <w:lang w:val="en-US"/>
              </w:rPr>
              <w:t>gov</w:t>
            </w:r>
            <w:r w:rsidRPr="005B6774">
              <w:rPr>
                <w:rFonts w:cstheme="minorHAnsi"/>
                <w:sz w:val="24"/>
                <w:szCs w:val="28"/>
                <w:lang w:val="en-US"/>
              </w:rPr>
              <w:t>.</w:t>
            </w:r>
            <w:r w:rsidRPr="00051FC8">
              <w:rPr>
                <w:rFonts w:cstheme="minorHAnsi"/>
                <w:sz w:val="24"/>
                <w:szCs w:val="28"/>
                <w:lang w:val="en-US"/>
              </w:rPr>
              <w:t>ru</w:t>
            </w:r>
            <w:r w:rsidRPr="005B6774">
              <w:rPr>
                <w:rFonts w:cstheme="minorHAnsi"/>
                <w:sz w:val="24"/>
                <w:szCs w:val="28"/>
                <w:lang w:val="en-US"/>
              </w:rPr>
              <w:t>:</w:t>
            </w:r>
          </w:p>
        </w:tc>
        <w:tc>
          <w:tcPr>
            <w:tcW w:w="7019" w:type="dxa"/>
            <w:tcMar>
              <w:top w:w="57" w:type="dxa"/>
              <w:bottom w:w="57" w:type="dxa"/>
            </w:tcMar>
            <w:vAlign w:val="center"/>
          </w:tcPr>
          <w:p w:rsidR="009D4D0D" w:rsidRPr="00A12048" w:rsidRDefault="00B62611" w:rsidP="0044290E">
            <w:pPr>
              <w:jc w:val="center"/>
              <w:rPr>
                <w:rFonts w:cstheme="minorHAnsi"/>
                <w:sz w:val="24"/>
                <w:szCs w:val="28"/>
              </w:rPr>
            </w:pPr>
            <w:r w:rsidRPr="00B62611">
              <w:rPr>
                <w:rFonts w:cstheme="minorHAnsi"/>
                <w:sz w:val="24"/>
                <w:szCs w:val="28"/>
              </w:rPr>
              <w:t>02/04/04-18/00079937</w:t>
            </w:r>
          </w:p>
        </w:tc>
      </w:tr>
    </w:tbl>
    <w:p w:rsidR="00DB7708" w:rsidRDefault="00C52C24" w:rsidP="00D601EF">
      <w:pPr>
        <w:spacing w:before="360" w:after="0"/>
        <w:jc w:val="center"/>
        <w:rPr>
          <w:rFonts w:cstheme="minorHAnsi"/>
          <w:b/>
          <w:sz w:val="28"/>
          <w:szCs w:val="28"/>
        </w:rPr>
      </w:pPr>
      <w:r>
        <w:rPr>
          <w:rFonts w:cstheme="minorHAnsi"/>
          <w:b/>
          <w:sz w:val="28"/>
          <w:szCs w:val="28"/>
        </w:rPr>
        <w:t xml:space="preserve">Для прохождения опроса </w:t>
      </w:r>
      <w:r w:rsidRPr="00C52C24">
        <w:rPr>
          <w:rFonts w:cstheme="minorHAnsi"/>
          <w:b/>
          <w:sz w:val="28"/>
          <w:szCs w:val="28"/>
          <w:u w:val="single"/>
        </w:rPr>
        <w:t>просим ознакомиться со сводным отчетом</w:t>
      </w:r>
      <w:r>
        <w:rPr>
          <w:rFonts w:cstheme="minorHAnsi"/>
          <w:b/>
          <w:sz w:val="28"/>
          <w:szCs w:val="28"/>
        </w:rPr>
        <w:t xml:space="preserve"> </w:t>
      </w:r>
      <w:r>
        <w:rPr>
          <w:rFonts w:cstheme="minorHAnsi"/>
          <w:b/>
          <w:sz w:val="28"/>
          <w:szCs w:val="28"/>
        </w:rPr>
        <w:br/>
        <w:t xml:space="preserve">о проведении оценки регулирующего воздействия, </w:t>
      </w:r>
      <w:r>
        <w:rPr>
          <w:rFonts w:cstheme="minorHAnsi"/>
          <w:b/>
          <w:sz w:val="28"/>
          <w:szCs w:val="28"/>
        </w:rPr>
        <w:br/>
        <w:t>подготовленным разработчиком проекта акта.</w:t>
      </w:r>
    </w:p>
    <w:p w:rsidR="00936BF6" w:rsidRDefault="00936BF6" w:rsidP="00C44DF7">
      <w:pPr>
        <w:spacing w:before="240" w:after="240"/>
        <w:ind w:firstLine="709"/>
        <w:rPr>
          <w:rFonts w:cstheme="minorHAnsi"/>
          <w:b/>
          <w:sz w:val="28"/>
          <w:szCs w:val="28"/>
        </w:rPr>
      </w:pPr>
    </w:p>
    <w:p w:rsidR="00461CDD" w:rsidRDefault="00461CDD" w:rsidP="00C44DF7">
      <w:pPr>
        <w:spacing w:before="240" w:after="240"/>
        <w:ind w:firstLine="709"/>
        <w:rPr>
          <w:rFonts w:cstheme="minorHAnsi"/>
          <w:b/>
          <w:sz w:val="28"/>
          <w:szCs w:val="28"/>
        </w:rPr>
      </w:pPr>
    </w:p>
    <w:p w:rsidR="0044290E" w:rsidRDefault="0044290E" w:rsidP="00C44DF7">
      <w:pPr>
        <w:spacing w:before="240" w:after="240"/>
        <w:ind w:firstLine="709"/>
        <w:rPr>
          <w:rFonts w:cstheme="minorHAnsi"/>
          <w:b/>
          <w:sz w:val="28"/>
          <w:szCs w:val="28"/>
        </w:rPr>
      </w:pPr>
    </w:p>
    <w:p w:rsidR="005C1538" w:rsidRPr="009D4D0D" w:rsidRDefault="0033609E" w:rsidP="00C44DF7">
      <w:pPr>
        <w:spacing w:before="240" w:after="240"/>
        <w:ind w:firstLine="709"/>
        <w:rPr>
          <w:rFonts w:cstheme="minorHAnsi"/>
          <w:b/>
          <w:sz w:val="28"/>
          <w:szCs w:val="28"/>
        </w:rPr>
      </w:pPr>
      <w:r>
        <w:rPr>
          <w:rFonts w:cstheme="minorHAnsi"/>
          <w:b/>
          <w:sz w:val="28"/>
          <w:szCs w:val="28"/>
        </w:rPr>
        <w:t>Вопросы</w:t>
      </w:r>
      <w:r w:rsidR="005C1538">
        <w:rPr>
          <w:rFonts w:cstheme="minorHAnsi"/>
          <w:b/>
          <w:sz w:val="28"/>
          <w:szCs w:val="28"/>
        </w:rPr>
        <w:t>:</w:t>
      </w:r>
    </w:p>
    <w:tbl>
      <w:tblPr>
        <w:tblStyle w:val="a9"/>
        <w:tblW w:w="10065" w:type="dxa"/>
        <w:tblLook w:val="04A0" w:firstRow="1" w:lastRow="0" w:firstColumn="1" w:lastColumn="0" w:noHBand="0" w:noVBand="1"/>
      </w:tblPr>
      <w:tblGrid>
        <w:gridCol w:w="10065"/>
      </w:tblGrid>
      <w:tr w:rsidR="006C6D6A" w:rsidRPr="00051FC8" w:rsidTr="00430D0A">
        <w:trPr>
          <w:cantSplit/>
        </w:trPr>
        <w:tc>
          <w:tcPr>
            <w:tcW w:w="10065" w:type="dxa"/>
            <w:shd w:val="clear" w:color="auto" w:fill="F2F2F2" w:themeFill="background1" w:themeFillShade="F2"/>
            <w:tcMar>
              <w:top w:w="113" w:type="dxa"/>
              <w:bottom w:w="113" w:type="dxa"/>
            </w:tcMar>
          </w:tcPr>
          <w:p w:rsidR="006C6D6A" w:rsidRPr="00051FC8" w:rsidRDefault="006C6D6A" w:rsidP="005F0478">
            <w:pPr>
              <w:jc w:val="both"/>
              <w:rPr>
                <w:rFonts w:cstheme="minorHAnsi"/>
                <w:sz w:val="24"/>
                <w:szCs w:val="24"/>
              </w:rPr>
            </w:pPr>
            <w:r w:rsidRPr="00051FC8">
              <w:rPr>
                <w:rFonts w:cstheme="minorHAnsi"/>
                <w:sz w:val="24"/>
                <w:szCs w:val="24"/>
              </w:rPr>
              <w:t>Актуальна ли проблема</w:t>
            </w:r>
            <w:r w:rsidR="005751E7" w:rsidRPr="00051FC8">
              <w:rPr>
                <w:rFonts w:cstheme="minorHAnsi"/>
                <w:sz w:val="24"/>
                <w:szCs w:val="24"/>
              </w:rPr>
              <w:t>, описанная разработчико</w:t>
            </w:r>
            <w:r w:rsidR="00573E6C" w:rsidRPr="00051FC8">
              <w:rPr>
                <w:rFonts w:cstheme="minorHAnsi"/>
                <w:sz w:val="24"/>
                <w:szCs w:val="24"/>
              </w:rPr>
              <w:t>м</w:t>
            </w:r>
            <w:r w:rsidR="005751E7" w:rsidRPr="00051FC8">
              <w:rPr>
                <w:rFonts w:cstheme="minorHAnsi"/>
                <w:sz w:val="24"/>
                <w:szCs w:val="24"/>
              </w:rPr>
              <w:t xml:space="preserve"> в сводном отчете</w:t>
            </w:r>
            <w:r w:rsidRPr="00051FC8">
              <w:rPr>
                <w:rFonts w:cstheme="minorHAnsi"/>
                <w:sz w:val="24"/>
                <w:szCs w:val="24"/>
              </w:rPr>
              <w:t>? Позволит ли принятие данного проекта решить проблему?</w:t>
            </w:r>
          </w:p>
        </w:tc>
      </w:tr>
      <w:tr w:rsidR="006C6D6A" w:rsidRPr="00051FC8" w:rsidTr="00430D0A">
        <w:trPr>
          <w:cantSplit/>
        </w:trPr>
        <w:tc>
          <w:tcPr>
            <w:tcW w:w="10065" w:type="dxa"/>
            <w:tcMar>
              <w:top w:w="113" w:type="dxa"/>
              <w:bottom w:w="113" w:type="dxa"/>
            </w:tcMar>
          </w:tcPr>
          <w:p w:rsidR="00D56DAB" w:rsidRDefault="00D56DAB" w:rsidP="00004959">
            <w:pPr>
              <w:ind w:firstLine="709"/>
              <w:jc w:val="both"/>
              <w:rPr>
                <w:rFonts w:cstheme="minorHAnsi"/>
                <w:sz w:val="24"/>
                <w:szCs w:val="24"/>
              </w:rPr>
            </w:pPr>
            <w:r w:rsidRPr="00FD17EF">
              <w:rPr>
                <w:rFonts w:cstheme="minorHAnsi"/>
                <w:sz w:val="24"/>
                <w:szCs w:val="24"/>
              </w:rPr>
              <w:t xml:space="preserve">В целом, проблема, описанная в сводном отчете, существует. Вместе с тем, в связи с наличием иных способов решения проблемы, а также с учетом имеющихся на основании ГК РФ у заказчиков прав предусмотреть в положениях о закупках требования к обеспечению заявок на участие в закупках и </w:t>
            </w:r>
            <w:r w:rsidR="00435187" w:rsidRPr="00FD17EF">
              <w:rPr>
                <w:rFonts w:cstheme="minorHAnsi"/>
                <w:sz w:val="24"/>
                <w:szCs w:val="24"/>
              </w:rPr>
              <w:t>исполнени</w:t>
            </w:r>
            <w:r w:rsidR="00435187">
              <w:rPr>
                <w:rFonts w:cstheme="minorHAnsi"/>
                <w:sz w:val="24"/>
                <w:szCs w:val="24"/>
              </w:rPr>
              <w:t>я</w:t>
            </w:r>
            <w:r w:rsidR="00435187" w:rsidRPr="00FD17EF">
              <w:rPr>
                <w:rFonts w:cstheme="minorHAnsi"/>
                <w:sz w:val="24"/>
                <w:szCs w:val="24"/>
              </w:rPr>
              <w:t xml:space="preserve"> </w:t>
            </w:r>
            <w:r w:rsidRPr="00FD17EF">
              <w:rPr>
                <w:rFonts w:cstheme="minorHAnsi"/>
                <w:sz w:val="24"/>
                <w:szCs w:val="24"/>
              </w:rPr>
              <w:t xml:space="preserve">договоров, рассматриваемую проблему </w:t>
            </w:r>
            <w:r w:rsidR="00FD17EF">
              <w:rPr>
                <w:rFonts w:cstheme="minorHAnsi"/>
                <w:sz w:val="24"/>
                <w:szCs w:val="24"/>
              </w:rPr>
              <w:t xml:space="preserve">проблематично </w:t>
            </w:r>
            <w:r w:rsidRPr="00FD17EF">
              <w:rPr>
                <w:rFonts w:cstheme="minorHAnsi"/>
                <w:sz w:val="24"/>
                <w:szCs w:val="24"/>
              </w:rPr>
              <w:t>признать актуальной.</w:t>
            </w:r>
          </w:p>
          <w:p w:rsidR="006C6D6A" w:rsidRDefault="00F81DD1" w:rsidP="00004959">
            <w:pPr>
              <w:ind w:firstLine="709"/>
              <w:jc w:val="both"/>
              <w:rPr>
                <w:rFonts w:cstheme="minorHAnsi"/>
                <w:sz w:val="24"/>
                <w:szCs w:val="24"/>
              </w:rPr>
            </w:pPr>
            <w:r>
              <w:rPr>
                <w:rFonts w:cstheme="minorHAnsi"/>
                <w:sz w:val="24"/>
                <w:szCs w:val="24"/>
              </w:rPr>
              <w:t>Проблема, описанная в Пояснительной записке, очевидно, актуальна для принципалов, у которых отсутствуют кредитные лимиты в банках, соответствующих критериям заказчиков, или вероятность их установления минимальна.</w:t>
            </w:r>
          </w:p>
          <w:p w:rsidR="00F81DD1" w:rsidRPr="00F81DD1" w:rsidRDefault="00FD17EF" w:rsidP="00004959">
            <w:pPr>
              <w:ind w:firstLine="709"/>
              <w:jc w:val="both"/>
              <w:rPr>
                <w:rFonts w:cstheme="minorHAnsi"/>
                <w:sz w:val="24"/>
                <w:szCs w:val="24"/>
              </w:rPr>
            </w:pPr>
            <w:r>
              <w:rPr>
                <w:rFonts w:cstheme="minorHAnsi"/>
                <w:sz w:val="24"/>
                <w:szCs w:val="24"/>
              </w:rPr>
              <w:t xml:space="preserve">Вопрос, поднятый </w:t>
            </w:r>
            <w:r w:rsidR="00F81DD1">
              <w:rPr>
                <w:rFonts w:cstheme="minorHAnsi"/>
                <w:sz w:val="24"/>
                <w:szCs w:val="24"/>
              </w:rPr>
              <w:t>законопроектом</w:t>
            </w:r>
            <w:r w:rsidR="00435187">
              <w:rPr>
                <w:rFonts w:cstheme="minorHAnsi"/>
                <w:sz w:val="24"/>
                <w:szCs w:val="24"/>
              </w:rPr>
              <w:t>,</w:t>
            </w:r>
            <w:r w:rsidR="00F81DD1">
              <w:rPr>
                <w:rFonts w:cstheme="minorHAnsi"/>
                <w:sz w:val="24"/>
                <w:szCs w:val="24"/>
              </w:rPr>
              <w:t xml:space="preserve"> о необходимости подтверждения факта выдачи гарантий в рамках Федерального закона от 18.07.2011 № 223-ФЗ, в настоящее время прорабатывается, в том числе, в рамках рабочей группы, созданной при Ассоциации </w:t>
            </w:r>
            <w:proofErr w:type="spellStart"/>
            <w:r w:rsidR="00F81DD1">
              <w:rPr>
                <w:rFonts w:cstheme="minorHAnsi"/>
                <w:sz w:val="24"/>
                <w:szCs w:val="24"/>
              </w:rPr>
              <w:t>Финтех</w:t>
            </w:r>
            <w:proofErr w:type="spellEnd"/>
            <w:r w:rsidR="00435187">
              <w:rPr>
                <w:rFonts w:cstheme="minorHAnsi"/>
                <w:sz w:val="24"/>
                <w:szCs w:val="24"/>
              </w:rPr>
              <w:t>,</w:t>
            </w:r>
            <w:r w:rsidR="00F81DD1">
              <w:rPr>
                <w:rFonts w:cstheme="minorHAnsi"/>
                <w:sz w:val="24"/>
                <w:szCs w:val="24"/>
              </w:rPr>
              <w:t xml:space="preserve"> путем создания универсального сервиса для цифровых банковских гарантий с использованием технологии распределенных реестров</w:t>
            </w:r>
            <w:r w:rsidR="00F81DD1">
              <w:rPr>
                <w:rFonts w:cstheme="minorHAnsi"/>
                <w:szCs w:val="24"/>
              </w:rPr>
              <w:t>.</w:t>
            </w:r>
          </w:p>
        </w:tc>
      </w:tr>
      <w:tr w:rsidR="005751E7" w:rsidRPr="00051FC8" w:rsidTr="00430D0A">
        <w:trPr>
          <w:cantSplit/>
        </w:trPr>
        <w:tc>
          <w:tcPr>
            <w:tcW w:w="10065" w:type="dxa"/>
            <w:shd w:val="clear" w:color="auto" w:fill="F2F2F2" w:themeFill="background1" w:themeFillShade="F2"/>
            <w:tcMar>
              <w:top w:w="113" w:type="dxa"/>
              <w:bottom w:w="113" w:type="dxa"/>
            </w:tcMar>
          </w:tcPr>
          <w:p w:rsidR="005751E7" w:rsidRPr="00051FC8" w:rsidRDefault="005751E7" w:rsidP="005F0478">
            <w:pPr>
              <w:jc w:val="both"/>
              <w:rPr>
                <w:rFonts w:cstheme="minorHAnsi"/>
                <w:sz w:val="24"/>
                <w:szCs w:val="24"/>
              </w:rPr>
            </w:pPr>
            <w:r w:rsidRPr="00051FC8">
              <w:rPr>
                <w:rFonts w:cstheme="minorHAnsi"/>
                <w:sz w:val="24"/>
                <w:szCs w:val="24"/>
              </w:rPr>
              <w:t xml:space="preserve">Каких положительных эффектов следует ожидать в случае принятия данного проекта? </w:t>
            </w:r>
            <w:r w:rsidR="005F0478">
              <w:rPr>
                <w:rFonts w:cstheme="minorHAnsi"/>
                <w:sz w:val="24"/>
                <w:szCs w:val="24"/>
              </w:rPr>
              <w:br/>
            </w:r>
            <w:r w:rsidRPr="00051FC8">
              <w:rPr>
                <w:rFonts w:cstheme="minorHAnsi"/>
                <w:sz w:val="24"/>
                <w:szCs w:val="24"/>
              </w:rPr>
              <w:t>По возможности, приведите числовые данные.</w:t>
            </w:r>
          </w:p>
        </w:tc>
      </w:tr>
      <w:tr w:rsidR="005751E7" w:rsidRPr="00051FC8" w:rsidTr="00430D0A">
        <w:trPr>
          <w:cantSplit/>
        </w:trPr>
        <w:tc>
          <w:tcPr>
            <w:tcW w:w="10065" w:type="dxa"/>
            <w:tcMar>
              <w:top w:w="113" w:type="dxa"/>
              <w:bottom w:w="113" w:type="dxa"/>
            </w:tcMar>
          </w:tcPr>
          <w:p w:rsidR="005751E7" w:rsidRDefault="00F81DD1" w:rsidP="00004959">
            <w:pPr>
              <w:ind w:firstLine="709"/>
              <w:jc w:val="both"/>
              <w:rPr>
                <w:rFonts w:cstheme="minorHAnsi"/>
                <w:sz w:val="24"/>
                <w:szCs w:val="24"/>
              </w:rPr>
            </w:pPr>
            <w:r>
              <w:rPr>
                <w:rFonts w:cstheme="minorHAnsi"/>
                <w:sz w:val="24"/>
                <w:szCs w:val="24"/>
              </w:rPr>
              <w:t>Снижение количества поддельных банковских гарантий.</w:t>
            </w:r>
          </w:p>
          <w:p w:rsidR="00F81DD1" w:rsidRPr="00051FC8" w:rsidRDefault="00F81DD1" w:rsidP="00004959">
            <w:pPr>
              <w:ind w:firstLine="709"/>
              <w:jc w:val="both"/>
              <w:rPr>
                <w:rFonts w:cstheme="minorHAnsi"/>
                <w:sz w:val="24"/>
                <w:szCs w:val="24"/>
              </w:rPr>
            </w:pPr>
            <w:r>
              <w:rPr>
                <w:rFonts w:cstheme="minorHAnsi"/>
                <w:sz w:val="24"/>
                <w:szCs w:val="24"/>
              </w:rPr>
              <w:t xml:space="preserve">Оценить снижение трудозатрат Банка проблематично, поскольку вместо процедуры подготовки писем с подтверждением факта выдачи гарантий банкам потребуется размещать информацию о </w:t>
            </w:r>
            <w:r w:rsidR="00435187">
              <w:rPr>
                <w:rFonts w:cstheme="minorHAnsi"/>
                <w:sz w:val="24"/>
                <w:szCs w:val="24"/>
              </w:rPr>
              <w:t xml:space="preserve">выданных </w:t>
            </w:r>
            <w:r>
              <w:rPr>
                <w:rFonts w:cstheme="minorHAnsi"/>
                <w:sz w:val="24"/>
                <w:szCs w:val="24"/>
              </w:rPr>
              <w:t>гаранти</w:t>
            </w:r>
            <w:r w:rsidR="00435187">
              <w:rPr>
                <w:rFonts w:cstheme="minorHAnsi"/>
                <w:sz w:val="24"/>
                <w:szCs w:val="24"/>
              </w:rPr>
              <w:t>ях</w:t>
            </w:r>
            <w:r>
              <w:rPr>
                <w:rFonts w:cstheme="minorHAnsi"/>
                <w:sz w:val="24"/>
                <w:szCs w:val="24"/>
              </w:rPr>
              <w:t xml:space="preserve"> в реестре банковских гарантий.</w:t>
            </w:r>
          </w:p>
        </w:tc>
      </w:tr>
      <w:tr w:rsidR="006C6D6A" w:rsidRPr="00051FC8" w:rsidTr="00430D0A">
        <w:trPr>
          <w:cantSplit/>
        </w:trPr>
        <w:tc>
          <w:tcPr>
            <w:tcW w:w="10065" w:type="dxa"/>
            <w:shd w:val="clear" w:color="auto" w:fill="F2F2F2" w:themeFill="background1" w:themeFillShade="F2"/>
            <w:tcMar>
              <w:top w:w="113" w:type="dxa"/>
              <w:bottom w:w="113" w:type="dxa"/>
            </w:tcMar>
          </w:tcPr>
          <w:p w:rsidR="00C52C24" w:rsidRPr="00051FC8" w:rsidRDefault="005751E7" w:rsidP="005F0478">
            <w:pPr>
              <w:jc w:val="both"/>
              <w:rPr>
                <w:rFonts w:cstheme="minorHAnsi"/>
                <w:sz w:val="24"/>
                <w:szCs w:val="24"/>
              </w:rPr>
            </w:pPr>
            <w:r w:rsidRPr="00051FC8">
              <w:rPr>
                <w:rFonts w:cstheme="minorHAnsi"/>
                <w:sz w:val="24"/>
                <w:szCs w:val="24"/>
              </w:rPr>
              <w:t>Какие риски и негативные последствия для бизнеса могут возникнуть в случае принятия данного проекта? По возможности, приведите числовые данные.</w:t>
            </w:r>
            <w:r w:rsidR="005F0478">
              <w:rPr>
                <w:rFonts w:cstheme="minorHAnsi"/>
                <w:sz w:val="24"/>
                <w:szCs w:val="24"/>
              </w:rPr>
              <w:t xml:space="preserve"> </w:t>
            </w:r>
            <w:r w:rsidR="00C52C24" w:rsidRPr="00051FC8">
              <w:rPr>
                <w:rFonts w:cstheme="minorHAnsi"/>
                <w:sz w:val="24"/>
                <w:szCs w:val="24"/>
              </w:rPr>
              <w:t>Согласны ли Вы с выводами разработчика, изложенными в сводном отчете?</w:t>
            </w:r>
          </w:p>
        </w:tc>
      </w:tr>
      <w:tr w:rsidR="006C6D6A" w:rsidRPr="00051FC8" w:rsidTr="00430D0A">
        <w:trPr>
          <w:cantSplit/>
        </w:trPr>
        <w:tc>
          <w:tcPr>
            <w:tcW w:w="10065" w:type="dxa"/>
            <w:tcMar>
              <w:top w:w="113" w:type="dxa"/>
              <w:bottom w:w="113" w:type="dxa"/>
            </w:tcMar>
          </w:tcPr>
          <w:p w:rsidR="00FD17EF" w:rsidRDefault="00FD17EF" w:rsidP="00FD17EF">
            <w:pPr>
              <w:pStyle w:val="aa"/>
              <w:numPr>
                <w:ilvl w:val="0"/>
                <w:numId w:val="2"/>
              </w:numPr>
              <w:spacing w:after="120"/>
              <w:jc w:val="both"/>
              <w:rPr>
                <w:rFonts w:cstheme="minorHAnsi"/>
                <w:sz w:val="24"/>
                <w:szCs w:val="24"/>
              </w:rPr>
            </w:pPr>
            <w:r w:rsidRPr="00FD17EF">
              <w:rPr>
                <w:rFonts w:cstheme="minorHAnsi"/>
                <w:sz w:val="24"/>
                <w:szCs w:val="24"/>
              </w:rPr>
              <w:t>Большинство предложений является дублированием положений Закона 44-ФЗ, в том числе тех, в отношении которых проводилась работа по доработке (например, возможность выдачи гарантий на отдельные виды обязательств и этапы работ, механизм «амортизации» гарантий, механизм отказа бенефициара от прав по гарантии и др.).</w:t>
            </w:r>
          </w:p>
          <w:p w:rsidR="00FD17EF" w:rsidRDefault="00FD17EF" w:rsidP="00FD17EF">
            <w:pPr>
              <w:pStyle w:val="aa"/>
              <w:spacing w:after="120"/>
              <w:jc w:val="both"/>
              <w:rPr>
                <w:rFonts w:cstheme="minorHAnsi"/>
                <w:sz w:val="24"/>
                <w:szCs w:val="24"/>
              </w:rPr>
            </w:pPr>
            <w:r w:rsidRPr="00FD17EF">
              <w:rPr>
                <w:rFonts w:cstheme="minorHAnsi"/>
                <w:sz w:val="24"/>
                <w:szCs w:val="24"/>
              </w:rPr>
              <w:t>Фактическое копирование отдельных норм Закона 44-ФЗ привнесет в работу с банковскими гарантиями в сфере закупок по Закону 223-ФЗ все недостатки и упущения, которые в настоящее время требуют устранения в рамках выдачи гарантий в обеспечение обязательств по закупкам для государственных и муниципальных нужд.</w:t>
            </w:r>
          </w:p>
          <w:p w:rsidR="00FD17EF" w:rsidRDefault="00FD17EF" w:rsidP="00FD17EF">
            <w:pPr>
              <w:pStyle w:val="aa"/>
              <w:spacing w:after="120"/>
              <w:jc w:val="both"/>
              <w:rPr>
                <w:rFonts w:cstheme="minorHAnsi"/>
                <w:sz w:val="24"/>
                <w:szCs w:val="24"/>
              </w:rPr>
            </w:pPr>
            <w:r>
              <w:rPr>
                <w:rFonts w:cstheme="minorHAnsi"/>
                <w:sz w:val="24"/>
                <w:szCs w:val="24"/>
              </w:rPr>
              <w:t xml:space="preserve">В частности, законопроект предусматривает, что срок действия гарантии исполнения договора должен превышать срок </w:t>
            </w:r>
            <w:r w:rsidR="00D270FC">
              <w:rPr>
                <w:rFonts w:cstheme="minorHAnsi"/>
                <w:sz w:val="24"/>
                <w:szCs w:val="24"/>
              </w:rPr>
              <w:t>исполнения определенных заказчиком обязательств</w:t>
            </w:r>
            <w:r w:rsidR="00D270FC" w:rsidDel="00D270FC">
              <w:rPr>
                <w:rFonts w:cstheme="minorHAnsi"/>
                <w:sz w:val="24"/>
                <w:szCs w:val="24"/>
              </w:rPr>
              <w:t xml:space="preserve"> </w:t>
            </w:r>
            <w:r>
              <w:rPr>
                <w:rFonts w:cstheme="minorHAnsi"/>
                <w:sz w:val="24"/>
                <w:szCs w:val="24"/>
              </w:rPr>
              <w:t xml:space="preserve">не менее чем на один месяц. </w:t>
            </w:r>
            <w:r w:rsidR="00D270FC">
              <w:rPr>
                <w:rFonts w:cstheme="minorHAnsi"/>
                <w:sz w:val="24"/>
                <w:szCs w:val="24"/>
              </w:rPr>
              <w:t xml:space="preserve">При этом </w:t>
            </w:r>
            <w:r>
              <w:rPr>
                <w:rFonts w:cstheme="minorHAnsi"/>
                <w:sz w:val="24"/>
                <w:szCs w:val="24"/>
              </w:rPr>
              <w:t xml:space="preserve"> </w:t>
            </w:r>
            <w:r w:rsidR="00D270FC">
              <w:rPr>
                <w:rFonts w:cstheme="minorHAnsi"/>
                <w:sz w:val="24"/>
                <w:szCs w:val="24"/>
              </w:rPr>
              <w:t xml:space="preserve">прямо не предусматривается </w:t>
            </w:r>
            <w:r>
              <w:rPr>
                <w:rFonts w:cstheme="minorHAnsi"/>
                <w:sz w:val="24"/>
                <w:szCs w:val="24"/>
              </w:rPr>
              <w:t xml:space="preserve"> возможность предоставления гарантий на отдельные этапы работ</w:t>
            </w:r>
            <w:r w:rsidR="00D270FC">
              <w:rPr>
                <w:rFonts w:cstheme="minorHAnsi"/>
                <w:sz w:val="24"/>
                <w:szCs w:val="24"/>
              </w:rPr>
              <w:t xml:space="preserve">, что допускает возможность </w:t>
            </w:r>
            <w:r w:rsidR="00D270FC" w:rsidRPr="00D270FC">
              <w:rPr>
                <w:rFonts w:cstheme="minorHAnsi"/>
                <w:sz w:val="24"/>
                <w:szCs w:val="24"/>
              </w:rPr>
              <w:t xml:space="preserve"> различных трактовок данного пункта и возникновения спорных ситуаций</w:t>
            </w:r>
            <w:r w:rsidR="00D270FC">
              <w:rPr>
                <w:rFonts w:cstheme="minorHAnsi"/>
                <w:sz w:val="24"/>
                <w:szCs w:val="24"/>
              </w:rPr>
              <w:t xml:space="preserve"> при определени</w:t>
            </w:r>
            <w:r w:rsidR="002F0AE0">
              <w:rPr>
                <w:rFonts w:cstheme="minorHAnsi"/>
                <w:sz w:val="24"/>
                <w:szCs w:val="24"/>
              </w:rPr>
              <w:t>и</w:t>
            </w:r>
            <w:r w:rsidR="00D270FC">
              <w:rPr>
                <w:rFonts w:cstheme="minorHAnsi"/>
                <w:sz w:val="24"/>
                <w:szCs w:val="24"/>
              </w:rPr>
              <w:t xml:space="preserve"> срока действия гарантии.</w:t>
            </w:r>
            <w:r w:rsidR="002F0AE0">
              <w:rPr>
                <w:rFonts w:cstheme="minorHAnsi"/>
                <w:sz w:val="24"/>
                <w:szCs w:val="24"/>
              </w:rPr>
              <w:t xml:space="preserve"> </w:t>
            </w:r>
            <w:r>
              <w:rPr>
                <w:rFonts w:cstheme="minorHAnsi"/>
                <w:sz w:val="24"/>
                <w:szCs w:val="24"/>
              </w:rPr>
              <w:t xml:space="preserve">Предложенная законопроектом максимальная унификация условий банковских гарантий не позволит заказчикам гибко применять имеющиеся в банковской практике инструменты обеспечения обязательства, в том числе, такие виды гарантий, как гарантия возврата аванса и гарантия гарантийного периода, обеспечивающие специфические виды рисков, возникающих в ходе исполнения договоров. Детализированные нормы Закона 223-ФЗ не позволят заказчикам при формировании условий закупок учитывать специфику отдельных видов закупок/ договоров и </w:t>
            </w:r>
            <w:proofErr w:type="gramStart"/>
            <w:r>
              <w:rPr>
                <w:rFonts w:cstheme="minorHAnsi"/>
                <w:sz w:val="24"/>
                <w:szCs w:val="24"/>
              </w:rPr>
              <w:t>устанавливать индивидуальные условия</w:t>
            </w:r>
            <w:proofErr w:type="gramEnd"/>
            <w:r>
              <w:rPr>
                <w:rFonts w:cstheme="minorHAnsi"/>
                <w:sz w:val="24"/>
                <w:szCs w:val="24"/>
              </w:rPr>
              <w:t xml:space="preserve"> в документации о закупке.</w:t>
            </w:r>
          </w:p>
          <w:p w:rsidR="00FD17EF" w:rsidRDefault="00FD17EF" w:rsidP="00FD17EF">
            <w:pPr>
              <w:pStyle w:val="aa"/>
              <w:spacing w:after="120"/>
              <w:jc w:val="both"/>
              <w:rPr>
                <w:rFonts w:cstheme="minorHAnsi"/>
                <w:sz w:val="24"/>
                <w:szCs w:val="24"/>
              </w:rPr>
            </w:pPr>
            <w:r>
              <w:rPr>
                <w:rFonts w:cstheme="minorHAnsi"/>
                <w:sz w:val="24"/>
                <w:szCs w:val="24"/>
              </w:rPr>
              <w:t>Законопроект не регламентирует процесс предъявления заказчиками требований платежа по гарантиям исполнения обязательств (механизм расчета суммы требования, конкретные обязательства, при нарушении которых заказчик имеет право предъявить требование по банковской гарантии), что ведет к повышенным рискам банков при выдаче гарантий, обеспечивающих исполнение договоров в рамках Закона 223-ФЗ.</w:t>
            </w:r>
          </w:p>
          <w:p w:rsidR="00FD17EF" w:rsidRDefault="00FD17EF" w:rsidP="00FD17EF">
            <w:pPr>
              <w:pStyle w:val="aa"/>
              <w:spacing w:after="120"/>
              <w:jc w:val="both"/>
              <w:rPr>
                <w:rFonts w:cstheme="minorHAnsi"/>
                <w:sz w:val="24"/>
                <w:szCs w:val="24"/>
              </w:rPr>
            </w:pPr>
            <w:r>
              <w:rPr>
                <w:rFonts w:cstheme="minorHAnsi"/>
                <w:sz w:val="24"/>
                <w:szCs w:val="24"/>
              </w:rPr>
              <w:t>С учетом сказанного, предлагаемые изменения в Закон 223-ФЗ (в части унификации условий банковских гарантий) затруднят получение участниками закупок банковских гарантий в обеспечение исполнения договоров за счет возможного ужесточения требований гарантов к выдаче таких гарантий, несущих пов</w:t>
            </w:r>
            <w:r w:rsidR="00D270FC">
              <w:rPr>
                <w:rFonts w:cstheme="minorHAnsi"/>
                <w:sz w:val="24"/>
                <w:szCs w:val="24"/>
              </w:rPr>
              <w:t>ы</w:t>
            </w:r>
            <w:r>
              <w:rPr>
                <w:rFonts w:cstheme="minorHAnsi"/>
                <w:sz w:val="24"/>
                <w:szCs w:val="24"/>
              </w:rPr>
              <w:t>шенные риски предъявления заказчиками необоснованных требований платежа.</w:t>
            </w:r>
          </w:p>
          <w:p w:rsidR="00FD17EF" w:rsidRPr="00FD17EF" w:rsidRDefault="00FD17EF" w:rsidP="00FD17EF">
            <w:pPr>
              <w:pStyle w:val="aa"/>
              <w:numPr>
                <w:ilvl w:val="0"/>
                <w:numId w:val="2"/>
              </w:numPr>
              <w:spacing w:after="120"/>
              <w:jc w:val="both"/>
              <w:rPr>
                <w:rFonts w:cstheme="minorHAnsi"/>
                <w:sz w:val="24"/>
                <w:szCs w:val="24"/>
              </w:rPr>
            </w:pPr>
            <w:r w:rsidRPr="00FD17EF">
              <w:rPr>
                <w:rFonts w:cstheme="minorHAnsi"/>
                <w:sz w:val="24"/>
                <w:szCs w:val="24"/>
              </w:rPr>
              <w:t>Предлагаемые изменения фактически не предусматривают каких-либо требований в отношении использования других возможных способов обеспечения обязательств, а также не содержат однозначной трактовки того, обязан ли заказчик предусмотреть для участников закупки (при подаче заявки/ исполнении договора) возможность выбора из различных способов обеспечения, предусмотренных действующим законодательством РФ</w:t>
            </w:r>
            <w:r>
              <w:rPr>
                <w:rFonts w:cstheme="minorHAnsi"/>
                <w:sz w:val="24"/>
                <w:szCs w:val="24"/>
              </w:rPr>
              <w:t>.</w:t>
            </w:r>
          </w:p>
          <w:p w:rsidR="006C6D6A" w:rsidRDefault="00FD17EF" w:rsidP="00FD17EF">
            <w:pPr>
              <w:pStyle w:val="aa"/>
              <w:numPr>
                <w:ilvl w:val="0"/>
                <w:numId w:val="2"/>
              </w:numPr>
              <w:jc w:val="both"/>
              <w:rPr>
                <w:rFonts w:cstheme="minorHAnsi"/>
                <w:sz w:val="24"/>
                <w:szCs w:val="24"/>
              </w:rPr>
            </w:pPr>
            <w:r>
              <w:rPr>
                <w:rFonts w:cstheme="minorHAnsi"/>
                <w:sz w:val="24"/>
                <w:szCs w:val="24"/>
              </w:rPr>
              <w:t xml:space="preserve">Вызывает вопросы </w:t>
            </w:r>
            <w:r w:rsidR="00F81DD1" w:rsidRPr="00F737A4">
              <w:rPr>
                <w:rFonts w:cstheme="minorHAnsi"/>
                <w:sz w:val="24"/>
                <w:szCs w:val="24"/>
              </w:rPr>
              <w:t xml:space="preserve">готовность и </w:t>
            </w:r>
            <w:r w:rsidR="00F737A4" w:rsidRPr="00F737A4">
              <w:rPr>
                <w:rFonts w:cstheme="minorHAnsi"/>
                <w:sz w:val="24"/>
                <w:szCs w:val="24"/>
              </w:rPr>
              <w:t>устойчивость работы реестра банковских гарантий</w:t>
            </w:r>
            <w:r>
              <w:rPr>
                <w:rFonts w:cstheme="minorHAnsi"/>
                <w:sz w:val="24"/>
                <w:szCs w:val="24"/>
              </w:rPr>
              <w:t xml:space="preserve"> в связи с планируемым существенным увеличением м</w:t>
            </w:r>
            <w:r w:rsidR="00F737A4" w:rsidRPr="00F737A4">
              <w:rPr>
                <w:rFonts w:cstheme="minorHAnsi"/>
                <w:sz w:val="24"/>
                <w:szCs w:val="24"/>
              </w:rPr>
              <w:t>ассив</w:t>
            </w:r>
            <w:r>
              <w:rPr>
                <w:rFonts w:cstheme="minorHAnsi"/>
                <w:sz w:val="24"/>
                <w:szCs w:val="24"/>
              </w:rPr>
              <w:t>а</w:t>
            </w:r>
            <w:r w:rsidR="00F737A4" w:rsidRPr="00F737A4">
              <w:rPr>
                <w:rFonts w:cstheme="minorHAnsi"/>
                <w:sz w:val="24"/>
                <w:szCs w:val="24"/>
              </w:rPr>
              <w:t xml:space="preserve"> информации</w:t>
            </w:r>
            <w:r w:rsidR="00F737A4">
              <w:rPr>
                <w:rFonts w:cstheme="minorHAnsi"/>
                <w:sz w:val="24"/>
                <w:szCs w:val="24"/>
              </w:rPr>
              <w:t xml:space="preserve"> </w:t>
            </w:r>
            <w:r>
              <w:rPr>
                <w:rFonts w:cstheme="minorHAnsi"/>
                <w:sz w:val="24"/>
                <w:szCs w:val="24"/>
              </w:rPr>
              <w:t>для размещения</w:t>
            </w:r>
            <w:r w:rsidR="00F737A4">
              <w:rPr>
                <w:rFonts w:cstheme="minorHAnsi"/>
                <w:sz w:val="24"/>
                <w:szCs w:val="24"/>
              </w:rPr>
              <w:t>.</w:t>
            </w:r>
          </w:p>
          <w:p w:rsidR="00F737A4" w:rsidRPr="00F737A4" w:rsidRDefault="00F737A4" w:rsidP="005F02B6">
            <w:pPr>
              <w:pStyle w:val="aa"/>
              <w:jc w:val="both"/>
              <w:rPr>
                <w:rFonts w:cstheme="minorHAnsi"/>
                <w:sz w:val="24"/>
                <w:szCs w:val="24"/>
              </w:rPr>
            </w:pPr>
          </w:p>
        </w:tc>
      </w:tr>
      <w:tr w:rsidR="006C6D6A" w:rsidRPr="00051FC8" w:rsidTr="00430D0A">
        <w:trPr>
          <w:cantSplit/>
        </w:trPr>
        <w:tc>
          <w:tcPr>
            <w:tcW w:w="10065" w:type="dxa"/>
            <w:shd w:val="clear" w:color="auto" w:fill="F2F2F2" w:themeFill="background1" w:themeFillShade="F2"/>
            <w:tcMar>
              <w:top w:w="113" w:type="dxa"/>
              <w:bottom w:w="113" w:type="dxa"/>
            </w:tcMar>
          </w:tcPr>
          <w:p w:rsidR="006C6D6A" w:rsidRPr="00051FC8" w:rsidRDefault="005751E7" w:rsidP="00573E6C">
            <w:pPr>
              <w:jc w:val="both"/>
              <w:rPr>
                <w:rFonts w:cstheme="minorHAnsi"/>
                <w:sz w:val="24"/>
                <w:szCs w:val="24"/>
              </w:rPr>
            </w:pPr>
            <w:r w:rsidRPr="00051FC8">
              <w:rPr>
                <w:rFonts w:cstheme="minorHAnsi"/>
                <w:sz w:val="24"/>
                <w:szCs w:val="24"/>
              </w:rPr>
              <w:t>Существуют ли менее затратные и (или) более эффективные способы решения проблемы?</w:t>
            </w:r>
            <w:r w:rsidR="00B555F7" w:rsidRPr="00051FC8">
              <w:rPr>
                <w:rFonts w:cstheme="minorHAnsi"/>
                <w:sz w:val="24"/>
                <w:szCs w:val="24"/>
              </w:rPr>
              <w:t xml:space="preserve"> Если да, опишите их.</w:t>
            </w:r>
          </w:p>
        </w:tc>
      </w:tr>
      <w:tr w:rsidR="0033609E" w:rsidRPr="00051FC8" w:rsidTr="00430D0A">
        <w:trPr>
          <w:cantSplit/>
        </w:trPr>
        <w:tc>
          <w:tcPr>
            <w:tcW w:w="10065" w:type="dxa"/>
            <w:tcMar>
              <w:top w:w="113" w:type="dxa"/>
              <w:bottom w:w="113" w:type="dxa"/>
            </w:tcMar>
          </w:tcPr>
          <w:p w:rsidR="0033609E" w:rsidRDefault="00FD17EF" w:rsidP="00FD17EF">
            <w:pPr>
              <w:jc w:val="both"/>
              <w:rPr>
                <w:rFonts w:cstheme="minorHAnsi"/>
                <w:sz w:val="24"/>
                <w:szCs w:val="24"/>
              </w:rPr>
            </w:pPr>
            <w:r>
              <w:rPr>
                <w:rFonts w:cstheme="minorHAnsi"/>
                <w:sz w:val="24"/>
                <w:szCs w:val="24"/>
              </w:rPr>
              <w:t xml:space="preserve">Считаем законодательное регулирование условий (содержания) банковских гарантий до завершения работы по внесению изменений в положения </w:t>
            </w:r>
            <w:r w:rsidR="00517EDD">
              <w:rPr>
                <w:rFonts w:cstheme="minorHAnsi"/>
                <w:sz w:val="24"/>
                <w:szCs w:val="24"/>
              </w:rPr>
              <w:t>Закона</w:t>
            </w:r>
            <w:r>
              <w:rPr>
                <w:rFonts w:cstheme="minorHAnsi"/>
                <w:sz w:val="24"/>
                <w:szCs w:val="24"/>
              </w:rPr>
              <w:t xml:space="preserve"> 44-ФЗ относительно банковских гарантий преждевременным.</w:t>
            </w:r>
          </w:p>
          <w:p w:rsidR="0090196D" w:rsidRPr="00051FC8" w:rsidRDefault="00FD17EF" w:rsidP="00004959">
            <w:pPr>
              <w:jc w:val="both"/>
              <w:rPr>
                <w:rFonts w:cstheme="minorHAnsi"/>
                <w:sz w:val="24"/>
                <w:szCs w:val="24"/>
              </w:rPr>
            </w:pPr>
            <w:r>
              <w:rPr>
                <w:rFonts w:cstheme="minorHAnsi"/>
                <w:sz w:val="24"/>
                <w:szCs w:val="24"/>
              </w:rPr>
              <w:t xml:space="preserve">Кроме того, полагаем необходимым </w:t>
            </w:r>
            <w:r w:rsidR="0090196D">
              <w:rPr>
                <w:rFonts w:cstheme="minorHAnsi"/>
                <w:sz w:val="24"/>
                <w:szCs w:val="24"/>
              </w:rPr>
              <w:t xml:space="preserve">учесть предстоящее с 1 июля </w:t>
            </w:r>
            <w:r w:rsidR="00435187">
              <w:rPr>
                <w:rFonts w:cstheme="minorHAnsi"/>
                <w:sz w:val="24"/>
                <w:szCs w:val="24"/>
              </w:rPr>
              <w:t xml:space="preserve">2018 г. </w:t>
            </w:r>
            <w:r w:rsidR="0090196D">
              <w:rPr>
                <w:rFonts w:cstheme="minorHAnsi"/>
                <w:sz w:val="24"/>
                <w:szCs w:val="24"/>
              </w:rPr>
              <w:t>вступление в силу П</w:t>
            </w:r>
            <w:r w:rsidR="0090196D" w:rsidRPr="0090196D">
              <w:rPr>
                <w:rFonts w:cstheme="minorHAnsi"/>
                <w:sz w:val="24"/>
                <w:szCs w:val="24"/>
              </w:rPr>
              <w:t xml:space="preserve">остановления Правительства РФ от 29.05.2018 </w:t>
            </w:r>
            <w:r w:rsidR="00004959">
              <w:rPr>
                <w:rFonts w:cstheme="minorHAnsi"/>
                <w:sz w:val="24"/>
                <w:szCs w:val="24"/>
              </w:rPr>
              <w:t>№</w:t>
            </w:r>
            <w:r w:rsidR="0090196D" w:rsidRPr="0090196D">
              <w:rPr>
                <w:rFonts w:cstheme="minorHAnsi"/>
                <w:sz w:val="24"/>
                <w:szCs w:val="24"/>
              </w:rPr>
              <w:t xml:space="preserve"> 608</w:t>
            </w:r>
            <w:r w:rsidR="0090196D">
              <w:rPr>
                <w:rFonts w:cstheme="minorHAnsi"/>
                <w:sz w:val="24"/>
                <w:szCs w:val="24"/>
              </w:rPr>
              <w:t xml:space="preserve"> в части </w:t>
            </w:r>
            <w:r w:rsidR="0090196D" w:rsidRPr="0090196D">
              <w:rPr>
                <w:rFonts w:cstheme="minorHAnsi"/>
                <w:sz w:val="24"/>
                <w:szCs w:val="24"/>
              </w:rPr>
              <w:t>требования о том, что информация о банковских гарантиях, предоставляемых в качестве обеспечения заявок и исполнения контрактов, не размещается на официальном сайте</w:t>
            </w:r>
            <w:r w:rsidR="0090196D">
              <w:rPr>
                <w:rFonts w:eastAsia="Times New Roman"/>
              </w:rPr>
              <w:t xml:space="preserve"> </w:t>
            </w:r>
            <w:hyperlink r:id="rId9" w:history="1">
              <w:r w:rsidR="0090196D" w:rsidRPr="00004959">
                <w:rPr>
                  <w:rStyle w:val="ae"/>
                  <w:rFonts w:eastAsia="Times New Roman"/>
                  <w:sz w:val="24"/>
                </w:rPr>
                <w:t>zakupki.gov.ru</w:t>
              </w:r>
            </w:hyperlink>
            <w:r w:rsidR="0090196D" w:rsidRPr="00004959">
              <w:rPr>
                <w:rFonts w:eastAsia="Times New Roman"/>
                <w:sz w:val="24"/>
              </w:rPr>
              <w:t>.</w:t>
            </w:r>
          </w:p>
        </w:tc>
      </w:tr>
      <w:tr w:rsidR="005751E7" w:rsidRPr="00051FC8" w:rsidTr="00430D0A">
        <w:trPr>
          <w:cantSplit/>
        </w:trPr>
        <w:tc>
          <w:tcPr>
            <w:tcW w:w="10065" w:type="dxa"/>
            <w:shd w:val="clear" w:color="auto" w:fill="F2F2F2" w:themeFill="background1" w:themeFillShade="F2"/>
            <w:tcMar>
              <w:top w:w="113" w:type="dxa"/>
              <w:bottom w:w="113" w:type="dxa"/>
            </w:tcMar>
          </w:tcPr>
          <w:p w:rsidR="005751E7" w:rsidRPr="00051FC8" w:rsidRDefault="005751E7" w:rsidP="00573E6C">
            <w:pPr>
              <w:jc w:val="both"/>
              <w:rPr>
                <w:rFonts w:cstheme="minorHAnsi"/>
                <w:sz w:val="24"/>
                <w:szCs w:val="24"/>
              </w:rPr>
            </w:pPr>
            <w:r w:rsidRPr="00051FC8">
              <w:rPr>
                <w:rFonts w:cstheme="minorHAnsi"/>
                <w:sz w:val="24"/>
                <w:szCs w:val="24"/>
              </w:rPr>
              <w:t xml:space="preserve">Содержит ли проект акта нормы, противоречащие действующему законодательству? </w:t>
            </w:r>
            <w:r w:rsidR="00051FC8">
              <w:rPr>
                <w:rFonts w:cstheme="minorHAnsi"/>
                <w:sz w:val="24"/>
                <w:szCs w:val="24"/>
              </w:rPr>
              <w:br/>
            </w:r>
            <w:r w:rsidRPr="00051FC8">
              <w:rPr>
                <w:rFonts w:cstheme="minorHAnsi"/>
                <w:sz w:val="24"/>
                <w:szCs w:val="24"/>
              </w:rPr>
              <w:t>Если да, укажите их.</w:t>
            </w:r>
          </w:p>
        </w:tc>
      </w:tr>
      <w:tr w:rsidR="005751E7" w:rsidRPr="00051FC8" w:rsidTr="00430D0A">
        <w:trPr>
          <w:cantSplit/>
        </w:trPr>
        <w:tc>
          <w:tcPr>
            <w:tcW w:w="10065" w:type="dxa"/>
            <w:tcMar>
              <w:top w:w="113" w:type="dxa"/>
              <w:bottom w:w="113" w:type="dxa"/>
            </w:tcMar>
          </w:tcPr>
          <w:p w:rsidR="005751E7" w:rsidRPr="00051FC8" w:rsidRDefault="005751E7" w:rsidP="002A35B2">
            <w:pPr>
              <w:jc w:val="both"/>
              <w:rPr>
                <w:rFonts w:cstheme="minorHAnsi"/>
                <w:sz w:val="24"/>
                <w:szCs w:val="24"/>
              </w:rPr>
            </w:pPr>
          </w:p>
        </w:tc>
      </w:tr>
      <w:tr w:rsidR="0033609E" w:rsidRPr="00051FC8" w:rsidTr="00430D0A">
        <w:trPr>
          <w:cantSplit/>
        </w:trPr>
        <w:tc>
          <w:tcPr>
            <w:tcW w:w="10065" w:type="dxa"/>
            <w:shd w:val="clear" w:color="auto" w:fill="F2F2F2" w:themeFill="background1" w:themeFillShade="F2"/>
            <w:tcMar>
              <w:top w:w="113" w:type="dxa"/>
              <w:bottom w:w="113" w:type="dxa"/>
            </w:tcMar>
          </w:tcPr>
          <w:p w:rsidR="0033609E" w:rsidRPr="00051FC8" w:rsidRDefault="005751E7" w:rsidP="00051FC8">
            <w:pPr>
              <w:jc w:val="both"/>
              <w:rPr>
                <w:rFonts w:cstheme="minorHAnsi"/>
                <w:sz w:val="24"/>
                <w:szCs w:val="24"/>
              </w:rPr>
            </w:pPr>
            <w:r w:rsidRPr="00051FC8">
              <w:rPr>
                <w:rFonts w:cstheme="minorHAnsi"/>
                <w:sz w:val="24"/>
                <w:szCs w:val="24"/>
              </w:rPr>
              <w:t>Содержит ли проект акта нормы, положения и термины, позволяющие их толковать неоднозначно? Если да, укажите их.</w:t>
            </w:r>
          </w:p>
        </w:tc>
      </w:tr>
      <w:tr w:rsidR="0033609E" w:rsidRPr="00051FC8" w:rsidTr="00430D0A">
        <w:trPr>
          <w:cantSplit/>
        </w:trPr>
        <w:tc>
          <w:tcPr>
            <w:tcW w:w="10065" w:type="dxa"/>
            <w:tcMar>
              <w:top w:w="113" w:type="dxa"/>
              <w:bottom w:w="113" w:type="dxa"/>
            </w:tcMar>
          </w:tcPr>
          <w:p w:rsidR="002A35B2" w:rsidRPr="002A35B2" w:rsidRDefault="002A35B2" w:rsidP="009F4025">
            <w:pPr>
              <w:ind w:firstLine="709"/>
              <w:jc w:val="both"/>
              <w:rPr>
                <w:rFonts w:ascii="Calibri" w:eastAsia="Calibri" w:hAnsi="Calibri" w:cs="Calibri"/>
                <w:sz w:val="24"/>
                <w:szCs w:val="24"/>
              </w:rPr>
            </w:pPr>
            <w:proofErr w:type="gramStart"/>
            <w:r w:rsidRPr="002A35B2">
              <w:rPr>
                <w:rFonts w:ascii="Calibri" w:eastAsia="Calibri" w:hAnsi="Calibri" w:cs="Calibri"/>
                <w:sz w:val="24"/>
                <w:szCs w:val="24"/>
              </w:rPr>
              <w:t>Согласно ч. 33 ст. 3.4</w:t>
            </w:r>
            <w:r w:rsidR="00004959">
              <w:rPr>
                <w:rFonts w:ascii="Calibri" w:eastAsia="Calibri" w:hAnsi="Calibri" w:cs="Calibri"/>
                <w:sz w:val="24"/>
                <w:szCs w:val="24"/>
              </w:rPr>
              <w:t xml:space="preserve"> Закона № 223-ФЗ в редакции законопроекта</w:t>
            </w:r>
            <w:r w:rsidR="009F4025">
              <w:rPr>
                <w:rFonts w:ascii="Calibri" w:eastAsia="Calibri" w:hAnsi="Calibri" w:cs="Calibri"/>
                <w:sz w:val="24"/>
                <w:szCs w:val="24"/>
              </w:rPr>
              <w:t>:</w:t>
            </w:r>
            <w:r w:rsidRPr="002A35B2">
              <w:rPr>
                <w:rFonts w:ascii="Calibri" w:eastAsia="Calibri" w:hAnsi="Calibri" w:cs="Calibri"/>
                <w:sz w:val="24"/>
                <w:szCs w:val="24"/>
              </w:rPr>
              <w:t xml:space="preserve"> в случае, предусмотренном извещением о конкурентной закупке с участием субъектов малого и среднего предпринимательства, документацией о такой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w:t>
            </w:r>
            <w:proofErr w:type="gramEnd"/>
            <w:r w:rsidRPr="002A35B2">
              <w:rPr>
                <w:rFonts w:ascii="Calibri" w:eastAsia="Calibri" w:hAnsi="Calibri" w:cs="Calibri"/>
                <w:sz w:val="24"/>
                <w:szCs w:val="24"/>
              </w:rPr>
              <w:t xml:space="preserve"> денежной суммы по банковской гарантии, соответствующее условиям банковской гарантии и направленное до окончания срока действия банковской гарантии.</w:t>
            </w:r>
          </w:p>
          <w:p w:rsidR="0033609E" w:rsidRPr="002A35B2" w:rsidRDefault="002A35B2" w:rsidP="009F4025">
            <w:pPr>
              <w:ind w:firstLine="709"/>
              <w:jc w:val="both"/>
              <w:rPr>
                <w:rFonts w:ascii="Calibri" w:eastAsia="Calibri" w:hAnsi="Calibri" w:cs="Calibri"/>
                <w:sz w:val="24"/>
                <w:szCs w:val="24"/>
              </w:rPr>
            </w:pPr>
            <w:r w:rsidRPr="002A35B2">
              <w:rPr>
                <w:rFonts w:ascii="Calibri" w:eastAsia="Calibri" w:hAnsi="Calibri" w:cs="Calibri"/>
                <w:sz w:val="24"/>
                <w:szCs w:val="24"/>
              </w:rPr>
              <w:t>Исходя из анализа данной нормы</w:t>
            </w:r>
            <w:r w:rsidR="00435187">
              <w:rPr>
                <w:rFonts w:ascii="Calibri" w:eastAsia="Calibri" w:hAnsi="Calibri" w:cs="Calibri"/>
                <w:sz w:val="24"/>
                <w:szCs w:val="24"/>
              </w:rPr>
              <w:t>,</w:t>
            </w:r>
            <w:r w:rsidRPr="002A35B2">
              <w:rPr>
                <w:rFonts w:ascii="Calibri" w:eastAsia="Calibri" w:hAnsi="Calibri" w:cs="Calibri"/>
                <w:sz w:val="24"/>
                <w:szCs w:val="24"/>
              </w:rPr>
              <w:t xml:space="preserve"> нельзя сделать однозначный вывод о возможности включать в банковскую гарантию условие о праве заказчика на бесспорное списание денежных средств со счета гаранта в случае, если закупка проводится конкурентным способом.</w:t>
            </w:r>
          </w:p>
          <w:p w:rsidR="002A35B2" w:rsidRPr="00051FC8" w:rsidRDefault="002A35B2" w:rsidP="009F4025">
            <w:pPr>
              <w:ind w:firstLine="709"/>
              <w:jc w:val="both"/>
              <w:rPr>
                <w:rFonts w:cstheme="minorHAnsi"/>
                <w:sz w:val="24"/>
                <w:szCs w:val="24"/>
              </w:rPr>
            </w:pPr>
            <w:r w:rsidRPr="002A35B2">
              <w:rPr>
                <w:rFonts w:ascii="Calibri" w:eastAsia="Calibri" w:hAnsi="Calibri" w:cs="Calibri"/>
                <w:sz w:val="24"/>
                <w:szCs w:val="24"/>
              </w:rPr>
              <w:t>Кроме того, согласно ГК РФ, требование должно быть «представлено», а не «направлено».</w:t>
            </w:r>
          </w:p>
        </w:tc>
      </w:tr>
      <w:tr w:rsidR="000A1215" w:rsidRPr="00051FC8" w:rsidTr="00430D0A">
        <w:trPr>
          <w:cantSplit/>
        </w:trPr>
        <w:tc>
          <w:tcPr>
            <w:tcW w:w="10065" w:type="dxa"/>
            <w:shd w:val="clear" w:color="auto" w:fill="F2F2F2" w:themeFill="background1" w:themeFillShade="F2"/>
            <w:tcMar>
              <w:top w:w="113" w:type="dxa"/>
              <w:bottom w:w="113" w:type="dxa"/>
            </w:tcMar>
          </w:tcPr>
          <w:p w:rsidR="000A1215" w:rsidRPr="00051FC8" w:rsidRDefault="000A1215" w:rsidP="00051FC8">
            <w:pPr>
              <w:jc w:val="both"/>
              <w:rPr>
                <w:rFonts w:cstheme="minorHAnsi"/>
                <w:sz w:val="24"/>
                <w:szCs w:val="24"/>
              </w:rPr>
            </w:pPr>
            <w:r w:rsidRPr="00051FC8">
              <w:rPr>
                <w:rFonts w:cstheme="minorHAnsi"/>
                <w:sz w:val="24"/>
                <w:szCs w:val="24"/>
              </w:rPr>
              <w:t>Содерж</w:t>
            </w:r>
            <w:r w:rsidR="00FE7101" w:rsidRPr="00051FC8">
              <w:rPr>
                <w:rFonts w:cstheme="minorHAnsi"/>
                <w:sz w:val="24"/>
                <w:szCs w:val="24"/>
              </w:rPr>
              <w:t>и</w:t>
            </w:r>
            <w:r w:rsidRPr="00051FC8">
              <w:rPr>
                <w:rFonts w:cstheme="minorHAnsi"/>
                <w:sz w:val="24"/>
                <w:szCs w:val="24"/>
              </w:rPr>
              <w:t xml:space="preserve">т ли проект акта нормы, </w:t>
            </w:r>
            <w:r w:rsidR="00B555F7" w:rsidRPr="00051FC8">
              <w:rPr>
                <w:rFonts w:cstheme="minorHAnsi"/>
                <w:sz w:val="24"/>
                <w:szCs w:val="24"/>
              </w:rPr>
              <w:t xml:space="preserve">невыполнимые </w:t>
            </w:r>
            <w:r w:rsidRPr="00051FC8">
              <w:rPr>
                <w:rFonts w:cstheme="minorHAnsi"/>
                <w:sz w:val="24"/>
                <w:szCs w:val="24"/>
              </w:rPr>
              <w:t xml:space="preserve">на практике? </w:t>
            </w:r>
            <w:r w:rsidR="00B555F7" w:rsidRPr="00051FC8">
              <w:rPr>
                <w:rFonts w:cstheme="minorHAnsi"/>
                <w:sz w:val="24"/>
                <w:szCs w:val="24"/>
              </w:rPr>
              <w:t>Если да, укажите их.</w:t>
            </w:r>
          </w:p>
        </w:tc>
      </w:tr>
      <w:tr w:rsidR="000A1215" w:rsidRPr="00051FC8" w:rsidTr="00430D0A">
        <w:trPr>
          <w:cantSplit/>
        </w:trPr>
        <w:tc>
          <w:tcPr>
            <w:tcW w:w="10065" w:type="dxa"/>
            <w:tcMar>
              <w:top w:w="113" w:type="dxa"/>
              <w:bottom w:w="113" w:type="dxa"/>
            </w:tcMar>
          </w:tcPr>
          <w:p w:rsidR="002A35B2" w:rsidRDefault="002A35B2" w:rsidP="009F4025">
            <w:pPr>
              <w:ind w:firstLine="709"/>
              <w:jc w:val="both"/>
              <w:rPr>
                <w:rFonts w:cstheme="minorHAnsi"/>
                <w:sz w:val="24"/>
                <w:szCs w:val="24"/>
              </w:rPr>
            </w:pPr>
            <w:r>
              <w:rPr>
                <w:rFonts w:cstheme="minorHAnsi"/>
                <w:sz w:val="24"/>
                <w:szCs w:val="24"/>
              </w:rPr>
              <w:t>Законопроект не содержит обязательств заказчика направить в банк-гарант подписанное уполномоченным лицом заказчика уведомление об отказе заказчика от прав по ранее выданной гарантии.</w:t>
            </w:r>
          </w:p>
          <w:p w:rsidR="000A1215" w:rsidRPr="00051FC8" w:rsidRDefault="002A35B2" w:rsidP="009F4025">
            <w:pPr>
              <w:ind w:firstLine="709"/>
              <w:jc w:val="both"/>
              <w:rPr>
                <w:rFonts w:cstheme="minorHAnsi"/>
                <w:sz w:val="24"/>
                <w:szCs w:val="24"/>
              </w:rPr>
            </w:pPr>
            <w:r>
              <w:rPr>
                <w:rFonts w:cstheme="minorHAnsi"/>
                <w:sz w:val="24"/>
                <w:szCs w:val="24"/>
              </w:rPr>
              <w:t>С учетом независимого и безотзывного характера банковской гарантии до получения банком указанного уведомления, ранее выданная банковская гарантия будет продолжать действовать и оставаться в силе, что существенно затруднит возможность получения участником закупки другого обеспечения.</w:t>
            </w:r>
          </w:p>
        </w:tc>
      </w:tr>
      <w:tr w:rsidR="00DB7708" w:rsidRPr="00051FC8" w:rsidTr="00430D0A">
        <w:trPr>
          <w:cantSplit/>
        </w:trPr>
        <w:tc>
          <w:tcPr>
            <w:tcW w:w="10065" w:type="dxa"/>
            <w:shd w:val="clear" w:color="auto" w:fill="F2F2F2" w:themeFill="background1" w:themeFillShade="F2"/>
            <w:tcMar>
              <w:top w:w="113" w:type="dxa"/>
              <w:bottom w:w="113" w:type="dxa"/>
            </w:tcMar>
          </w:tcPr>
          <w:p w:rsidR="00DB7708" w:rsidRPr="00051FC8" w:rsidRDefault="00DB7708" w:rsidP="00573E6C">
            <w:pPr>
              <w:jc w:val="both"/>
              <w:rPr>
                <w:rFonts w:cstheme="minorHAnsi"/>
                <w:sz w:val="24"/>
                <w:szCs w:val="24"/>
              </w:rPr>
            </w:pPr>
            <w:r w:rsidRPr="00051FC8">
              <w:rPr>
                <w:rFonts w:cstheme="minorHAnsi"/>
                <w:sz w:val="24"/>
                <w:szCs w:val="24"/>
              </w:rPr>
              <w:t xml:space="preserve">Требуется ли переходный период для вступления в силу проекта акта? </w:t>
            </w:r>
            <w:r w:rsidR="000A1215" w:rsidRPr="00051FC8">
              <w:rPr>
                <w:rFonts w:cstheme="minorHAnsi"/>
                <w:sz w:val="24"/>
                <w:szCs w:val="24"/>
              </w:rPr>
              <w:t xml:space="preserve">Если да, укажите, каким он должен быть, либо какую дату </w:t>
            </w:r>
            <w:r w:rsidRPr="00051FC8">
              <w:rPr>
                <w:rFonts w:cstheme="minorHAnsi"/>
                <w:sz w:val="24"/>
                <w:szCs w:val="24"/>
              </w:rPr>
              <w:t>вступления в силу проекта акта</w:t>
            </w:r>
            <w:r w:rsidR="000A1215" w:rsidRPr="00051FC8">
              <w:rPr>
                <w:rFonts w:cstheme="minorHAnsi"/>
                <w:sz w:val="24"/>
                <w:szCs w:val="24"/>
              </w:rPr>
              <w:t xml:space="preserve"> следует предусмотреть</w:t>
            </w:r>
            <w:r w:rsidR="00B555F7" w:rsidRPr="00051FC8">
              <w:rPr>
                <w:rFonts w:cstheme="minorHAnsi"/>
                <w:sz w:val="24"/>
                <w:szCs w:val="24"/>
              </w:rPr>
              <w:t>.</w:t>
            </w:r>
          </w:p>
        </w:tc>
      </w:tr>
      <w:tr w:rsidR="00DB7708" w:rsidRPr="00051FC8" w:rsidTr="00430D0A">
        <w:trPr>
          <w:cantSplit/>
        </w:trPr>
        <w:tc>
          <w:tcPr>
            <w:tcW w:w="10065" w:type="dxa"/>
            <w:tcMar>
              <w:top w:w="113" w:type="dxa"/>
              <w:bottom w:w="113" w:type="dxa"/>
            </w:tcMar>
          </w:tcPr>
          <w:p w:rsidR="002A35B2" w:rsidRPr="006E49D2" w:rsidRDefault="002A35B2" w:rsidP="009F4025">
            <w:pPr>
              <w:ind w:firstLine="709"/>
              <w:jc w:val="both"/>
              <w:rPr>
                <w:rFonts w:cstheme="minorHAnsi"/>
                <w:sz w:val="24"/>
                <w:szCs w:val="24"/>
              </w:rPr>
            </w:pPr>
            <w:proofErr w:type="gramStart"/>
            <w:r>
              <w:rPr>
                <w:rFonts w:cstheme="minorHAnsi"/>
                <w:sz w:val="24"/>
                <w:szCs w:val="24"/>
              </w:rPr>
              <w:t>Переходный период для вступления законопроекта в силу необходим д</w:t>
            </w:r>
            <w:r w:rsidRPr="006E49D2">
              <w:rPr>
                <w:rFonts w:cstheme="minorHAnsi"/>
                <w:sz w:val="24"/>
                <w:szCs w:val="24"/>
              </w:rPr>
              <w:t>ля подготовки заказчиков к выполнению новых требований</w:t>
            </w:r>
            <w:r>
              <w:rPr>
                <w:rFonts w:cstheme="minorHAnsi"/>
                <w:sz w:val="24"/>
                <w:szCs w:val="24"/>
              </w:rPr>
              <w:t xml:space="preserve"> при</w:t>
            </w:r>
            <w:r w:rsidRPr="006E49D2">
              <w:rPr>
                <w:rFonts w:cstheme="minorHAnsi"/>
                <w:sz w:val="24"/>
                <w:szCs w:val="24"/>
              </w:rPr>
              <w:t xml:space="preserve"> работе с банковскими гарантиями, а также на доработку</w:t>
            </w:r>
            <w:r>
              <w:rPr>
                <w:rFonts w:cstheme="minorHAnsi"/>
                <w:sz w:val="24"/>
                <w:szCs w:val="24"/>
              </w:rPr>
              <w:t xml:space="preserve"> ответственными исполнительными органами РФ функционала</w:t>
            </w:r>
            <w:r w:rsidRPr="006E49D2">
              <w:rPr>
                <w:rFonts w:cstheme="minorHAnsi"/>
                <w:sz w:val="24"/>
                <w:szCs w:val="24"/>
              </w:rPr>
              <w:t xml:space="preserve"> Единой информационной системы в </w:t>
            </w:r>
            <w:r>
              <w:rPr>
                <w:rFonts w:cstheme="minorHAnsi"/>
                <w:sz w:val="24"/>
                <w:szCs w:val="24"/>
              </w:rPr>
              <w:t>сфере</w:t>
            </w:r>
            <w:r w:rsidRPr="006E49D2">
              <w:rPr>
                <w:rFonts w:cstheme="minorHAnsi"/>
                <w:sz w:val="24"/>
                <w:szCs w:val="24"/>
              </w:rPr>
              <w:t xml:space="preserve"> закуп</w:t>
            </w:r>
            <w:r>
              <w:rPr>
                <w:rFonts w:cstheme="minorHAnsi"/>
                <w:sz w:val="24"/>
                <w:szCs w:val="24"/>
              </w:rPr>
              <w:t>о</w:t>
            </w:r>
            <w:r w:rsidRPr="006E49D2">
              <w:rPr>
                <w:rFonts w:cstheme="minorHAnsi"/>
                <w:sz w:val="24"/>
                <w:szCs w:val="24"/>
              </w:rPr>
              <w:t xml:space="preserve">к </w:t>
            </w:r>
            <w:r>
              <w:rPr>
                <w:rFonts w:cstheme="minorHAnsi"/>
                <w:sz w:val="24"/>
                <w:szCs w:val="24"/>
              </w:rPr>
              <w:t>(в</w:t>
            </w:r>
            <w:r w:rsidRPr="006E49D2">
              <w:rPr>
                <w:rFonts w:cstheme="minorHAnsi"/>
                <w:sz w:val="24"/>
                <w:szCs w:val="24"/>
              </w:rPr>
              <w:t xml:space="preserve"> части возможности включения информации о гарантиях по закупкам в рамках Закона 223-ФЗ в Реестры банковских гарантий, используемые в настоящее время только для г</w:t>
            </w:r>
            <w:r>
              <w:rPr>
                <w:rFonts w:cstheme="minorHAnsi"/>
                <w:sz w:val="24"/>
                <w:szCs w:val="24"/>
              </w:rPr>
              <w:t>арантий в</w:t>
            </w:r>
            <w:proofErr w:type="gramEnd"/>
            <w:r>
              <w:rPr>
                <w:rFonts w:cstheme="minorHAnsi"/>
                <w:sz w:val="24"/>
                <w:szCs w:val="24"/>
              </w:rPr>
              <w:t xml:space="preserve"> </w:t>
            </w:r>
            <w:proofErr w:type="gramStart"/>
            <w:r>
              <w:rPr>
                <w:rFonts w:cstheme="minorHAnsi"/>
                <w:sz w:val="24"/>
                <w:szCs w:val="24"/>
              </w:rPr>
              <w:t>рамках</w:t>
            </w:r>
            <w:proofErr w:type="gramEnd"/>
            <w:r>
              <w:rPr>
                <w:rFonts w:cstheme="minorHAnsi"/>
                <w:sz w:val="24"/>
                <w:szCs w:val="24"/>
              </w:rPr>
              <w:t xml:space="preserve"> Закона 44-ФЗ).</w:t>
            </w:r>
          </w:p>
          <w:p w:rsidR="00DB7708" w:rsidRPr="00051FC8" w:rsidRDefault="002A35B2" w:rsidP="009F4025">
            <w:pPr>
              <w:ind w:firstLine="709"/>
              <w:jc w:val="both"/>
              <w:rPr>
                <w:rFonts w:cstheme="minorHAnsi"/>
                <w:sz w:val="24"/>
                <w:szCs w:val="24"/>
              </w:rPr>
            </w:pPr>
            <w:r w:rsidRPr="006E49D2">
              <w:rPr>
                <w:rFonts w:cstheme="minorHAnsi"/>
                <w:sz w:val="24"/>
                <w:szCs w:val="24"/>
              </w:rPr>
              <w:t>П</w:t>
            </w:r>
            <w:r>
              <w:rPr>
                <w:rFonts w:cstheme="minorHAnsi"/>
                <w:sz w:val="24"/>
                <w:szCs w:val="24"/>
              </w:rPr>
              <w:t>олагаем целесообразным ус</w:t>
            </w:r>
            <w:r w:rsidRPr="006E49D2">
              <w:rPr>
                <w:rFonts w:cstheme="minorHAnsi"/>
                <w:sz w:val="24"/>
                <w:szCs w:val="24"/>
              </w:rPr>
              <w:t>танов</w:t>
            </w:r>
            <w:r>
              <w:rPr>
                <w:rFonts w:cstheme="minorHAnsi"/>
                <w:sz w:val="24"/>
                <w:szCs w:val="24"/>
              </w:rPr>
              <w:t>ить</w:t>
            </w:r>
            <w:r w:rsidRPr="006E49D2">
              <w:rPr>
                <w:rFonts w:cstheme="minorHAnsi"/>
                <w:sz w:val="24"/>
                <w:szCs w:val="24"/>
              </w:rPr>
              <w:t xml:space="preserve"> переходн</w:t>
            </w:r>
            <w:r>
              <w:rPr>
                <w:rFonts w:cstheme="minorHAnsi"/>
                <w:sz w:val="24"/>
                <w:szCs w:val="24"/>
              </w:rPr>
              <w:t>ый</w:t>
            </w:r>
            <w:r w:rsidRPr="006E49D2">
              <w:rPr>
                <w:rFonts w:cstheme="minorHAnsi"/>
                <w:sz w:val="24"/>
                <w:szCs w:val="24"/>
              </w:rPr>
              <w:t xml:space="preserve"> период продолжительностью 6 месяцев с даты официальной публикации изменений в Закон 223-ФЗ.</w:t>
            </w:r>
          </w:p>
        </w:tc>
      </w:tr>
      <w:tr w:rsidR="00DB7708" w:rsidRPr="00051FC8" w:rsidTr="00430D0A">
        <w:trPr>
          <w:cantSplit/>
        </w:trPr>
        <w:tc>
          <w:tcPr>
            <w:tcW w:w="10065" w:type="dxa"/>
            <w:shd w:val="clear" w:color="auto" w:fill="F2F2F2" w:themeFill="background1" w:themeFillShade="F2"/>
            <w:tcMar>
              <w:top w:w="113" w:type="dxa"/>
              <w:bottom w:w="113" w:type="dxa"/>
            </w:tcMar>
          </w:tcPr>
          <w:p w:rsidR="00DB7708" w:rsidRPr="00051FC8" w:rsidRDefault="00B555F7" w:rsidP="00051FC8">
            <w:pPr>
              <w:jc w:val="both"/>
              <w:rPr>
                <w:rFonts w:cstheme="minorHAnsi"/>
                <w:sz w:val="24"/>
                <w:szCs w:val="24"/>
              </w:rPr>
            </w:pPr>
            <w:r w:rsidRPr="00051FC8">
              <w:rPr>
                <w:rFonts w:cstheme="minorHAnsi"/>
                <w:sz w:val="24"/>
                <w:szCs w:val="24"/>
              </w:rPr>
              <w:t xml:space="preserve">При наличии </w:t>
            </w:r>
            <w:r w:rsidR="00DB7708" w:rsidRPr="00051FC8">
              <w:rPr>
                <w:rFonts w:cstheme="minorHAnsi"/>
                <w:sz w:val="24"/>
                <w:szCs w:val="24"/>
              </w:rPr>
              <w:t>дополнительны</w:t>
            </w:r>
            <w:r w:rsidRPr="00051FC8">
              <w:rPr>
                <w:rFonts w:cstheme="minorHAnsi"/>
                <w:sz w:val="24"/>
                <w:szCs w:val="24"/>
              </w:rPr>
              <w:t>х</w:t>
            </w:r>
            <w:r w:rsidR="00DB7708" w:rsidRPr="00051FC8">
              <w:rPr>
                <w:rFonts w:cstheme="minorHAnsi"/>
                <w:sz w:val="24"/>
                <w:szCs w:val="24"/>
              </w:rPr>
              <w:t xml:space="preserve"> замечани</w:t>
            </w:r>
            <w:r w:rsidRPr="00051FC8">
              <w:rPr>
                <w:rFonts w:cstheme="minorHAnsi"/>
                <w:sz w:val="24"/>
                <w:szCs w:val="24"/>
              </w:rPr>
              <w:t>й и</w:t>
            </w:r>
            <w:r w:rsidR="00DB7708" w:rsidRPr="00051FC8">
              <w:rPr>
                <w:rFonts w:cstheme="minorHAnsi"/>
                <w:sz w:val="24"/>
                <w:szCs w:val="24"/>
              </w:rPr>
              <w:t xml:space="preserve"> предложени</w:t>
            </w:r>
            <w:r w:rsidRPr="00051FC8">
              <w:rPr>
                <w:rFonts w:cstheme="minorHAnsi"/>
                <w:sz w:val="24"/>
                <w:szCs w:val="24"/>
              </w:rPr>
              <w:t>й</w:t>
            </w:r>
            <w:r w:rsidR="00DB7708" w:rsidRPr="00051FC8">
              <w:rPr>
                <w:rFonts w:cstheme="minorHAnsi"/>
                <w:sz w:val="24"/>
                <w:szCs w:val="24"/>
              </w:rPr>
              <w:t xml:space="preserve"> </w:t>
            </w:r>
            <w:r w:rsidRPr="00051FC8">
              <w:rPr>
                <w:rFonts w:cstheme="minorHAnsi"/>
                <w:sz w:val="24"/>
                <w:szCs w:val="24"/>
              </w:rPr>
              <w:t>опишите</w:t>
            </w:r>
            <w:r w:rsidR="00FE7101" w:rsidRPr="00051FC8">
              <w:rPr>
                <w:rFonts w:cstheme="minorHAnsi"/>
                <w:sz w:val="24"/>
                <w:szCs w:val="24"/>
              </w:rPr>
              <w:t xml:space="preserve"> их в произвольной форме</w:t>
            </w:r>
            <w:r w:rsidR="00051FC8">
              <w:rPr>
                <w:rFonts w:cstheme="minorHAnsi"/>
                <w:sz w:val="24"/>
                <w:szCs w:val="24"/>
              </w:rPr>
              <w:t xml:space="preserve"> </w:t>
            </w:r>
            <w:r w:rsidR="005F0478">
              <w:rPr>
                <w:rFonts w:cstheme="minorHAnsi"/>
                <w:sz w:val="24"/>
                <w:szCs w:val="24"/>
              </w:rPr>
              <w:t>и/</w:t>
            </w:r>
            <w:r w:rsidR="00051FC8">
              <w:rPr>
                <w:rFonts w:cstheme="minorHAnsi"/>
                <w:sz w:val="24"/>
                <w:szCs w:val="24"/>
              </w:rPr>
              <w:t xml:space="preserve">или </w:t>
            </w:r>
            <w:r w:rsidR="005F0478">
              <w:rPr>
                <w:rFonts w:cstheme="minorHAnsi"/>
                <w:sz w:val="24"/>
                <w:szCs w:val="24"/>
              </w:rPr>
              <w:t>приложите к Вашему письму соответствующие материалы</w:t>
            </w:r>
            <w:r w:rsidR="00FE7101" w:rsidRPr="00051FC8">
              <w:rPr>
                <w:rFonts w:cstheme="minorHAnsi"/>
                <w:sz w:val="24"/>
                <w:szCs w:val="24"/>
              </w:rPr>
              <w:t>.</w:t>
            </w:r>
          </w:p>
        </w:tc>
      </w:tr>
    </w:tbl>
    <w:p w:rsidR="00B50A56" w:rsidRPr="00B50A56" w:rsidRDefault="00B50A56" w:rsidP="009F4025">
      <w:pPr>
        <w:pStyle w:val="aa"/>
        <w:numPr>
          <w:ilvl w:val="0"/>
          <w:numId w:val="3"/>
        </w:numPr>
        <w:spacing w:after="0" w:line="240" w:lineRule="auto"/>
        <w:contextualSpacing w:val="0"/>
        <w:jc w:val="both"/>
        <w:rPr>
          <w:color w:val="000000" w:themeColor="text1"/>
          <w:sz w:val="24"/>
          <w:szCs w:val="24"/>
        </w:rPr>
      </w:pPr>
      <w:r w:rsidRPr="00B50A56">
        <w:rPr>
          <w:rFonts w:ascii="Calibri" w:eastAsia="Calibri" w:hAnsi="Calibri" w:cs="Calibri"/>
          <w:color w:val="000000" w:themeColor="text1"/>
          <w:sz w:val="24"/>
          <w:szCs w:val="24"/>
        </w:rPr>
        <w:t>Часть 31 статьи 3.4: слова «или исполнения договоров» заменить словами «или исполнения договоров</w:t>
      </w:r>
      <w:r w:rsidRPr="00B50A56">
        <w:rPr>
          <w:color w:val="000000" w:themeColor="text1"/>
          <w:sz w:val="24"/>
          <w:szCs w:val="24"/>
        </w:rPr>
        <w:t>, заключаемых по результатам таких закупок</w:t>
      </w:r>
      <w:proofErr w:type="gramStart"/>
      <w:r w:rsidRPr="00B50A56">
        <w:rPr>
          <w:color w:val="000000" w:themeColor="text1"/>
          <w:sz w:val="24"/>
          <w:szCs w:val="24"/>
        </w:rPr>
        <w:t>,»</w:t>
      </w:r>
      <w:proofErr w:type="gramEnd"/>
      <w:r w:rsidRPr="00B50A56">
        <w:rPr>
          <w:color w:val="000000" w:themeColor="text1"/>
          <w:sz w:val="24"/>
          <w:szCs w:val="24"/>
        </w:rPr>
        <w:t>.</w:t>
      </w:r>
    </w:p>
    <w:p w:rsidR="00B50A56" w:rsidRPr="00B50A56" w:rsidRDefault="00B50A56" w:rsidP="009F4025">
      <w:pPr>
        <w:pStyle w:val="aa"/>
        <w:numPr>
          <w:ilvl w:val="0"/>
          <w:numId w:val="3"/>
        </w:numPr>
        <w:spacing w:after="0" w:line="240" w:lineRule="auto"/>
        <w:contextualSpacing w:val="0"/>
        <w:jc w:val="both"/>
        <w:rPr>
          <w:color w:val="000000" w:themeColor="text1"/>
          <w:sz w:val="24"/>
          <w:szCs w:val="24"/>
        </w:rPr>
      </w:pPr>
      <w:r w:rsidRPr="00B50A56">
        <w:rPr>
          <w:color w:val="000000" w:themeColor="text1"/>
          <w:sz w:val="24"/>
          <w:szCs w:val="24"/>
        </w:rPr>
        <w:t>Подпункт 2) части 32 статьи 3.4: слова «на счет заказчика</w:t>
      </w:r>
      <w:proofErr w:type="gramStart"/>
      <w:r w:rsidRPr="00B50A56">
        <w:rPr>
          <w:color w:val="000000" w:themeColor="text1"/>
          <w:sz w:val="24"/>
          <w:szCs w:val="24"/>
        </w:rPr>
        <w:t>;»</w:t>
      </w:r>
      <w:proofErr w:type="gramEnd"/>
      <w:r w:rsidRPr="00B50A56">
        <w:rPr>
          <w:color w:val="000000" w:themeColor="text1"/>
          <w:sz w:val="24"/>
          <w:szCs w:val="24"/>
        </w:rPr>
        <w:t xml:space="preserve"> заменить словами «на счет заказчика, указанный в требовании по банковской гарантии;».</w:t>
      </w:r>
    </w:p>
    <w:p w:rsidR="00905AF7" w:rsidRDefault="00B50A56" w:rsidP="009F4025">
      <w:pPr>
        <w:pStyle w:val="aa"/>
        <w:numPr>
          <w:ilvl w:val="0"/>
          <w:numId w:val="3"/>
        </w:numPr>
        <w:spacing w:after="0" w:line="240" w:lineRule="auto"/>
        <w:contextualSpacing w:val="0"/>
        <w:jc w:val="both"/>
        <w:rPr>
          <w:color w:val="000000" w:themeColor="text1"/>
          <w:sz w:val="24"/>
          <w:szCs w:val="24"/>
        </w:rPr>
      </w:pPr>
      <w:r w:rsidRPr="00B50A56">
        <w:rPr>
          <w:color w:val="000000" w:themeColor="text1"/>
          <w:sz w:val="24"/>
          <w:szCs w:val="24"/>
        </w:rPr>
        <w:t>Подпункт 3) части 32 статьи 3.4: предлагаем исключить данный подпункт.</w:t>
      </w:r>
    </w:p>
    <w:p w:rsidR="00B50A56" w:rsidRPr="00905AF7" w:rsidRDefault="00B50A56" w:rsidP="009F4025">
      <w:pPr>
        <w:pStyle w:val="aa"/>
        <w:spacing w:after="0" w:line="240" w:lineRule="auto"/>
        <w:contextualSpacing w:val="0"/>
        <w:jc w:val="both"/>
        <w:rPr>
          <w:color w:val="000000" w:themeColor="text1"/>
          <w:sz w:val="24"/>
          <w:szCs w:val="24"/>
        </w:rPr>
      </w:pPr>
      <w:r w:rsidRPr="00905AF7">
        <w:rPr>
          <w:rFonts w:cs="Arial"/>
          <w:color w:val="000000" w:themeColor="text1"/>
          <w:sz w:val="24"/>
          <w:szCs w:val="24"/>
        </w:rPr>
        <w:t>Данный подпункт имеет неоднозначную трактовку и является излишним, поскольку пунктом 1 статьи 370 Гражданского кодекса РФ установлено, что предусмотренное независимой гарантией обязательство гаранта перед бенефициаром не зависит от отношений между принципалом и гарантом, а также от каких-либо других обязательств, даже если в независимой гарантии содержатся ссылки на них. В банковской практике по другим видам гарантий</w:t>
      </w:r>
      <w:r w:rsidR="00517EDD">
        <w:rPr>
          <w:rFonts w:cs="Arial"/>
          <w:color w:val="000000" w:themeColor="text1"/>
          <w:sz w:val="24"/>
          <w:szCs w:val="24"/>
        </w:rPr>
        <w:t>, за исключением гарантий в рамках Закона 44-ФЗ,</w:t>
      </w:r>
      <w:r w:rsidRPr="00905AF7">
        <w:rPr>
          <w:rFonts w:cs="Arial"/>
          <w:color w:val="000000" w:themeColor="text1"/>
          <w:sz w:val="24"/>
          <w:szCs w:val="24"/>
        </w:rPr>
        <w:t xml:space="preserve"> «отлагательное условие» не используется. </w:t>
      </w:r>
      <w:r w:rsidR="00517EDD">
        <w:rPr>
          <w:rFonts w:cs="Arial"/>
          <w:color w:val="000000" w:themeColor="text1"/>
          <w:sz w:val="24"/>
          <w:szCs w:val="24"/>
        </w:rPr>
        <w:t>В настоящее время б</w:t>
      </w:r>
      <w:r w:rsidRPr="00905AF7">
        <w:rPr>
          <w:rFonts w:cs="Arial"/>
          <w:color w:val="000000" w:themeColor="text1"/>
          <w:sz w:val="24"/>
          <w:szCs w:val="24"/>
        </w:rPr>
        <w:t xml:space="preserve">анки-гаранты вынуждены включать данное условие только в гарантии, выдаваемые в рамках </w:t>
      </w:r>
      <w:r w:rsidR="00517EDD">
        <w:rPr>
          <w:rFonts w:cs="Arial"/>
          <w:color w:val="000000" w:themeColor="text1"/>
          <w:sz w:val="24"/>
          <w:szCs w:val="24"/>
        </w:rPr>
        <w:t xml:space="preserve">Закона </w:t>
      </w:r>
      <w:r w:rsidRPr="00905AF7">
        <w:rPr>
          <w:rFonts w:cs="Arial"/>
          <w:color w:val="000000" w:themeColor="text1"/>
          <w:sz w:val="24"/>
          <w:szCs w:val="24"/>
        </w:rPr>
        <w:t>44-ФЗ, без какой-либо смысловой нагрузки.</w:t>
      </w:r>
      <w:r w:rsidR="00517EDD">
        <w:rPr>
          <w:rFonts w:cs="Arial"/>
          <w:color w:val="000000" w:themeColor="text1"/>
          <w:sz w:val="24"/>
          <w:szCs w:val="24"/>
        </w:rPr>
        <w:t xml:space="preserve"> Аналогичная ситуация сложится в отношении гарантий, выдаваемых в рамках Закона 223-ФЗ, если данный подпункт не будет исключен. </w:t>
      </w:r>
    </w:p>
    <w:p w:rsidR="00B50A56" w:rsidRDefault="00B50A56" w:rsidP="009F4025">
      <w:pPr>
        <w:pStyle w:val="aa"/>
        <w:numPr>
          <w:ilvl w:val="0"/>
          <w:numId w:val="3"/>
        </w:numPr>
        <w:spacing w:after="0" w:line="240" w:lineRule="auto"/>
        <w:jc w:val="both"/>
        <w:rPr>
          <w:rFonts w:ascii="Calibri" w:eastAsia="Calibri" w:hAnsi="Calibri" w:cs="Calibri"/>
          <w:sz w:val="24"/>
          <w:szCs w:val="24"/>
        </w:rPr>
      </w:pPr>
      <w:proofErr w:type="gramStart"/>
      <w:r w:rsidRPr="00B50A56">
        <w:rPr>
          <w:rFonts w:ascii="Calibri" w:eastAsia="Calibri" w:hAnsi="Calibri" w:cs="Calibri"/>
          <w:sz w:val="24"/>
          <w:szCs w:val="24"/>
        </w:rPr>
        <w:t>Согласно ч. 33 ст. 3.4</w:t>
      </w:r>
      <w:r w:rsidR="00517EDD">
        <w:rPr>
          <w:rFonts w:ascii="Calibri" w:eastAsia="Calibri" w:hAnsi="Calibri" w:cs="Calibri"/>
          <w:sz w:val="24"/>
          <w:szCs w:val="24"/>
        </w:rPr>
        <w:t>,</w:t>
      </w:r>
      <w:r w:rsidRPr="00B50A56">
        <w:rPr>
          <w:rFonts w:ascii="Calibri" w:eastAsia="Calibri" w:hAnsi="Calibri" w:cs="Calibri"/>
          <w:sz w:val="24"/>
          <w:szCs w:val="24"/>
        </w:rPr>
        <w:t xml:space="preserve"> в случае, предусмотренном извещением о конкурентной закупке с участием субъектов малого и среднего предпринимательства, документацией о такой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proofErr w:type="gramEnd"/>
      <w:r w:rsidRPr="00B50A56">
        <w:rPr>
          <w:rFonts w:ascii="Calibri" w:eastAsia="Calibri" w:hAnsi="Calibri" w:cs="Calibri"/>
          <w:sz w:val="24"/>
          <w:szCs w:val="24"/>
        </w:rPr>
        <w:t>, соответствующее условиям банковской гарантии и направленное до окончания срока действия банковской гарантии.</w:t>
      </w:r>
    </w:p>
    <w:p w:rsidR="00B50A56" w:rsidRPr="00B50A56" w:rsidRDefault="00B50A56" w:rsidP="009F4025">
      <w:pPr>
        <w:pStyle w:val="aa"/>
        <w:spacing w:after="0" w:line="240" w:lineRule="auto"/>
        <w:jc w:val="both"/>
        <w:rPr>
          <w:rFonts w:ascii="Calibri" w:eastAsia="Calibri" w:hAnsi="Calibri" w:cs="Times New Roman"/>
          <w:sz w:val="24"/>
          <w:szCs w:val="24"/>
        </w:rPr>
      </w:pPr>
      <w:r w:rsidRPr="00B50A56">
        <w:rPr>
          <w:rFonts w:ascii="Calibri" w:eastAsia="Calibri" w:hAnsi="Calibri" w:cs="Times New Roman"/>
          <w:sz w:val="24"/>
          <w:szCs w:val="24"/>
        </w:rPr>
        <w:t xml:space="preserve">Данное условие, на наш взгляд, предоставляет заказчику с одной стороны чрезмерные полномочия в отношении гаранта, а </w:t>
      </w:r>
      <w:r w:rsidR="00517EDD">
        <w:rPr>
          <w:rFonts w:ascii="Calibri" w:eastAsia="Calibri" w:hAnsi="Calibri" w:cs="Times New Roman"/>
          <w:sz w:val="24"/>
          <w:szCs w:val="24"/>
        </w:rPr>
        <w:t>с другой стороны -</w:t>
      </w:r>
      <w:r w:rsidR="00517EDD" w:rsidRPr="00B50A56">
        <w:rPr>
          <w:rFonts w:ascii="Calibri" w:eastAsia="Calibri" w:hAnsi="Calibri" w:cs="Times New Roman"/>
          <w:sz w:val="24"/>
          <w:szCs w:val="24"/>
        </w:rPr>
        <w:t xml:space="preserve"> </w:t>
      </w:r>
      <w:r w:rsidRPr="00B50A56">
        <w:rPr>
          <w:rFonts w:ascii="Calibri" w:eastAsia="Calibri" w:hAnsi="Calibri" w:cs="Times New Roman"/>
          <w:sz w:val="24"/>
          <w:szCs w:val="24"/>
        </w:rPr>
        <w:t>ограничивает право заказчика самостоятельно определить условия, при которых у него возникает право на бесспорное списание средств со счетов гаранта.</w:t>
      </w:r>
    </w:p>
    <w:p w:rsidR="00B50A56" w:rsidRPr="00B50A56" w:rsidRDefault="00B50A56" w:rsidP="009F4025">
      <w:pPr>
        <w:pStyle w:val="aa"/>
        <w:spacing w:after="0" w:line="240" w:lineRule="auto"/>
        <w:jc w:val="both"/>
        <w:rPr>
          <w:rFonts w:ascii="Calibri" w:eastAsia="Calibri" w:hAnsi="Calibri" w:cs="Times New Roman"/>
          <w:sz w:val="24"/>
          <w:szCs w:val="24"/>
        </w:rPr>
      </w:pPr>
      <w:r w:rsidRPr="00B50A56">
        <w:rPr>
          <w:rFonts w:ascii="Calibri" w:eastAsia="Calibri" w:hAnsi="Calibri" w:cs="Times New Roman"/>
          <w:sz w:val="24"/>
          <w:szCs w:val="24"/>
        </w:rPr>
        <w:t>Согласно ст. 375 ГК РФ</w:t>
      </w:r>
      <w:r w:rsidR="00517EDD">
        <w:rPr>
          <w:rFonts w:ascii="Calibri" w:eastAsia="Calibri" w:hAnsi="Calibri" w:cs="Times New Roman"/>
          <w:sz w:val="24"/>
          <w:szCs w:val="24"/>
        </w:rPr>
        <w:t>,</w:t>
      </w:r>
      <w:r w:rsidRPr="00B50A56">
        <w:rPr>
          <w:rFonts w:ascii="Calibri" w:eastAsia="Calibri" w:hAnsi="Calibri" w:cs="Times New Roman"/>
          <w:sz w:val="24"/>
          <w:szCs w:val="24"/>
        </w:rPr>
        <w:t xml:space="preserve"> гарант должен рассмотреть требование бенефициара и приложенные к нему документы в течение 5 дней со дня, следующего за днем получения требования. Условиями независимой гарантии может быть предусмотрен иной срок рассмотрения требования, не превышающий 30 дней.</w:t>
      </w:r>
    </w:p>
    <w:p w:rsidR="00B50A56" w:rsidRPr="00B50A56" w:rsidRDefault="00B50A56" w:rsidP="009F4025">
      <w:pPr>
        <w:pStyle w:val="aa"/>
        <w:spacing w:after="0" w:line="240" w:lineRule="auto"/>
        <w:jc w:val="both"/>
        <w:rPr>
          <w:rFonts w:ascii="Calibri" w:eastAsia="Calibri" w:hAnsi="Calibri" w:cs="Times New Roman"/>
          <w:sz w:val="24"/>
          <w:szCs w:val="24"/>
        </w:rPr>
      </w:pPr>
      <w:r w:rsidRPr="00B50A56">
        <w:rPr>
          <w:rFonts w:ascii="Calibri" w:eastAsia="Calibri" w:hAnsi="Calibri" w:cs="Times New Roman"/>
          <w:sz w:val="24"/>
          <w:szCs w:val="24"/>
        </w:rPr>
        <w:t>По нашему мнению, Закон 223-ФЗ не должен ограничивать право заказчика определять по своему усмотрению срок, в течение которого гарант должен произвести платеж. Целесообразно, чтобы такой срок заказчик опр</w:t>
      </w:r>
      <w:r w:rsidR="00905AF7">
        <w:rPr>
          <w:rFonts w:ascii="Calibri" w:eastAsia="Calibri" w:hAnsi="Calibri" w:cs="Times New Roman"/>
          <w:sz w:val="24"/>
          <w:szCs w:val="24"/>
        </w:rPr>
        <w:t>еделял, исходя из положений ст.</w:t>
      </w:r>
      <w:r w:rsidR="00517EDD">
        <w:rPr>
          <w:rFonts w:ascii="Calibri" w:eastAsia="Calibri" w:hAnsi="Calibri" w:cs="Times New Roman"/>
          <w:sz w:val="24"/>
          <w:szCs w:val="24"/>
        </w:rPr>
        <w:t xml:space="preserve"> </w:t>
      </w:r>
      <w:r w:rsidRPr="00B50A56">
        <w:rPr>
          <w:rFonts w:ascii="Calibri" w:eastAsia="Calibri" w:hAnsi="Calibri" w:cs="Times New Roman"/>
          <w:sz w:val="24"/>
          <w:szCs w:val="24"/>
        </w:rPr>
        <w:t>375 ГК РФ.</w:t>
      </w:r>
    </w:p>
    <w:p w:rsidR="00B50A56" w:rsidRPr="00B50A56" w:rsidRDefault="00B50A56" w:rsidP="009F4025">
      <w:pPr>
        <w:pStyle w:val="aa"/>
        <w:spacing w:after="0" w:line="240" w:lineRule="auto"/>
        <w:jc w:val="both"/>
        <w:rPr>
          <w:rFonts w:ascii="Calibri" w:eastAsia="Calibri" w:hAnsi="Calibri" w:cs="Times New Roman"/>
          <w:sz w:val="24"/>
          <w:szCs w:val="24"/>
        </w:rPr>
      </w:pPr>
      <w:r w:rsidRPr="00B50A56">
        <w:rPr>
          <w:rFonts w:ascii="Calibri" w:eastAsia="Calibri" w:hAnsi="Calibri" w:cs="Times New Roman"/>
          <w:sz w:val="24"/>
          <w:szCs w:val="24"/>
        </w:rPr>
        <w:t xml:space="preserve">Кроме того, условие о праве на бесспорное списание денежных средств со счетов гаранта увеличивает риск злоупотребления правом со стороны заказчика. Более того, такое условие не позволяет гаранту </w:t>
      </w:r>
      <w:proofErr w:type="gramStart"/>
      <w:r w:rsidRPr="00B50A56">
        <w:rPr>
          <w:rFonts w:ascii="Calibri" w:eastAsia="Calibri" w:hAnsi="Calibri" w:cs="Times New Roman"/>
          <w:sz w:val="24"/>
          <w:szCs w:val="24"/>
        </w:rPr>
        <w:t>воспользоваться правом приостановить</w:t>
      </w:r>
      <w:proofErr w:type="gramEnd"/>
      <w:r w:rsidRPr="00B50A56">
        <w:rPr>
          <w:rFonts w:ascii="Calibri" w:eastAsia="Calibri" w:hAnsi="Calibri" w:cs="Times New Roman"/>
          <w:sz w:val="24"/>
          <w:szCs w:val="24"/>
        </w:rPr>
        <w:t xml:space="preserve"> платеж на срок до 7 дней</w:t>
      </w:r>
      <w:r w:rsidR="00905AF7">
        <w:rPr>
          <w:rFonts w:ascii="Calibri" w:eastAsia="Calibri" w:hAnsi="Calibri" w:cs="Times New Roman"/>
          <w:sz w:val="24"/>
          <w:szCs w:val="24"/>
        </w:rPr>
        <w:t>,</w:t>
      </w:r>
      <w:r w:rsidRPr="00B50A56">
        <w:rPr>
          <w:rFonts w:ascii="Calibri" w:eastAsia="Calibri" w:hAnsi="Calibri" w:cs="Times New Roman"/>
          <w:sz w:val="24"/>
          <w:szCs w:val="24"/>
        </w:rPr>
        <w:t xml:space="preserve"> предусмотренное п. 2 ст. 376 ГК РФ, если гарант имеет разумные основания полагать, что какой-либо из документов является недостоверным, основное обязательство является недействительным и пр.</w:t>
      </w:r>
    </w:p>
    <w:p w:rsidR="00905AF7" w:rsidRPr="00905AF7" w:rsidRDefault="00905AF7" w:rsidP="009F4025">
      <w:pPr>
        <w:pStyle w:val="aa"/>
        <w:spacing w:after="0" w:line="240" w:lineRule="auto"/>
        <w:contextualSpacing w:val="0"/>
        <w:jc w:val="both"/>
        <w:rPr>
          <w:rFonts w:cs="Times New Roman"/>
          <w:color w:val="000000" w:themeColor="text1"/>
          <w:sz w:val="24"/>
          <w:szCs w:val="24"/>
        </w:rPr>
      </w:pPr>
      <w:r w:rsidRPr="002A35B2">
        <w:rPr>
          <w:rFonts w:ascii="Calibri" w:eastAsia="Calibri" w:hAnsi="Calibri" w:cs="Calibri"/>
          <w:sz w:val="24"/>
          <w:szCs w:val="24"/>
        </w:rPr>
        <w:t>Кроме того, согласно ГК РФ, требование должно быть «представлено», а не «направлено».</w:t>
      </w:r>
    </w:p>
    <w:p w:rsidR="00B50A56" w:rsidRPr="00905AF7" w:rsidRDefault="00B50A56" w:rsidP="009F4025">
      <w:pPr>
        <w:pStyle w:val="aa"/>
        <w:numPr>
          <w:ilvl w:val="0"/>
          <w:numId w:val="3"/>
        </w:numPr>
        <w:spacing w:after="0" w:line="240" w:lineRule="auto"/>
        <w:contextualSpacing w:val="0"/>
        <w:jc w:val="both"/>
        <w:rPr>
          <w:rFonts w:cs="Times New Roman"/>
          <w:color w:val="000000" w:themeColor="text1"/>
          <w:sz w:val="24"/>
          <w:szCs w:val="24"/>
        </w:rPr>
      </w:pPr>
      <w:r w:rsidRPr="00B50A56">
        <w:rPr>
          <w:color w:val="000000" w:themeColor="text1"/>
          <w:sz w:val="24"/>
          <w:szCs w:val="24"/>
        </w:rPr>
        <w:t>Часть 36 статьи 3.4: слова «должен превышать срок исполнения определенных заказчиком обязательств» заменить словами «должен превышать срок исполнения определенных заказчиком обязательств по договору».</w:t>
      </w:r>
    </w:p>
    <w:p w:rsidR="00905AF7" w:rsidRPr="00B50A56" w:rsidRDefault="00905AF7" w:rsidP="009F4025">
      <w:pPr>
        <w:pStyle w:val="aa"/>
        <w:spacing w:after="0" w:line="240" w:lineRule="auto"/>
        <w:contextualSpacing w:val="0"/>
        <w:jc w:val="both"/>
        <w:rPr>
          <w:rFonts w:cs="Times New Roman"/>
          <w:color w:val="000000" w:themeColor="text1"/>
          <w:sz w:val="24"/>
          <w:szCs w:val="24"/>
        </w:rPr>
      </w:pPr>
      <w:r>
        <w:rPr>
          <w:color w:val="000000" w:themeColor="text1"/>
          <w:sz w:val="24"/>
          <w:szCs w:val="24"/>
        </w:rPr>
        <w:t xml:space="preserve">При этом с учетом практики работы в рамках </w:t>
      </w:r>
      <w:r w:rsidR="00517EDD">
        <w:rPr>
          <w:color w:val="000000" w:themeColor="text1"/>
          <w:sz w:val="24"/>
          <w:szCs w:val="24"/>
        </w:rPr>
        <w:t xml:space="preserve">Закона </w:t>
      </w:r>
      <w:r>
        <w:rPr>
          <w:color w:val="000000" w:themeColor="text1"/>
          <w:sz w:val="24"/>
          <w:szCs w:val="24"/>
        </w:rPr>
        <w:t xml:space="preserve">44-ФЗ и ранее направлявшихся предложений банковского сообщества о возможности выдачи гарантий на разные виды обязательств и разные этапы работ полагаем введение вышеуказанной нормы проблемной для развития данного банковских гарантий как инструмента обеспечения обязательств в рамках </w:t>
      </w:r>
      <w:r w:rsidR="00517EDD">
        <w:rPr>
          <w:color w:val="000000" w:themeColor="text1"/>
          <w:sz w:val="24"/>
          <w:szCs w:val="24"/>
        </w:rPr>
        <w:t xml:space="preserve">Закона </w:t>
      </w:r>
      <w:r>
        <w:rPr>
          <w:color w:val="000000" w:themeColor="text1"/>
          <w:sz w:val="24"/>
          <w:szCs w:val="24"/>
        </w:rPr>
        <w:t>223-ФЗ.</w:t>
      </w:r>
    </w:p>
    <w:p w:rsidR="00905AF7" w:rsidRDefault="00905AF7" w:rsidP="009F4025">
      <w:pPr>
        <w:pStyle w:val="aa"/>
        <w:numPr>
          <w:ilvl w:val="0"/>
          <w:numId w:val="3"/>
        </w:numPr>
        <w:spacing w:after="0" w:line="240" w:lineRule="auto"/>
        <w:contextualSpacing w:val="0"/>
        <w:jc w:val="both"/>
        <w:rPr>
          <w:color w:val="000000" w:themeColor="text1"/>
          <w:sz w:val="24"/>
          <w:szCs w:val="24"/>
        </w:rPr>
      </w:pPr>
      <w:r>
        <w:rPr>
          <w:color w:val="000000" w:themeColor="text1"/>
          <w:sz w:val="24"/>
          <w:szCs w:val="24"/>
        </w:rPr>
        <w:t xml:space="preserve">Часть 38 статьи 3.4: </w:t>
      </w:r>
      <w:r w:rsidR="006106C8">
        <w:rPr>
          <w:color w:val="000000" w:themeColor="text1"/>
          <w:sz w:val="24"/>
          <w:szCs w:val="24"/>
        </w:rPr>
        <w:t xml:space="preserve">предлагается </w:t>
      </w:r>
      <w:r>
        <w:rPr>
          <w:color w:val="000000" w:themeColor="text1"/>
          <w:sz w:val="24"/>
          <w:szCs w:val="24"/>
        </w:rPr>
        <w:t xml:space="preserve">слова «подлежит уменьшению на размер оплаченных заказчиком товаров, работ, услуг» заменить </w:t>
      </w:r>
      <w:proofErr w:type="gramStart"/>
      <w:r w:rsidR="006106C8">
        <w:rPr>
          <w:color w:val="000000" w:themeColor="text1"/>
          <w:sz w:val="24"/>
          <w:szCs w:val="24"/>
        </w:rPr>
        <w:t>на</w:t>
      </w:r>
      <w:proofErr w:type="gramEnd"/>
      <w:r w:rsidR="006106C8">
        <w:rPr>
          <w:color w:val="000000" w:themeColor="text1"/>
          <w:sz w:val="24"/>
          <w:szCs w:val="24"/>
        </w:rPr>
        <w:t xml:space="preserve"> </w:t>
      </w:r>
      <w:r>
        <w:rPr>
          <w:color w:val="000000" w:themeColor="text1"/>
          <w:sz w:val="24"/>
          <w:szCs w:val="24"/>
        </w:rPr>
        <w:t>«подлежит уменьшению пропорционально размер</w:t>
      </w:r>
      <w:r w:rsidR="00517EDD">
        <w:rPr>
          <w:color w:val="000000" w:themeColor="text1"/>
          <w:sz w:val="24"/>
          <w:szCs w:val="24"/>
        </w:rPr>
        <w:t>у</w:t>
      </w:r>
      <w:r>
        <w:rPr>
          <w:color w:val="000000" w:themeColor="text1"/>
          <w:sz w:val="24"/>
          <w:szCs w:val="24"/>
        </w:rPr>
        <w:t xml:space="preserve"> поставленных товаров, выполненных работ, услуг</w:t>
      </w:r>
      <w:r w:rsidR="00517EDD">
        <w:rPr>
          <w:color w:val="000000" w:themeColor="text1"/>
          <w:sz w:val="24"/>
          <w:szCs w:val="24"/>
        </w:rPr>
        <w:t>»</w:t>
      </w:r>
      <w:r>
        <w:rPr>
          <w:color w:val="000000" w:themeColor="text1"/>
          <w:sz w:val="24"/>
          <w:szCs w:val="24"/>
        </w:rPr>
        <w:t>.</w:t>
      </w:r>
    </w:p>
    <w:p w:rsidR="00905AF7" w:rsidRDefault="00905AF7" w:rsidP="009F4025">
      <w:pPr>
        <w:pStyle w:val="aa"/>
        <w:numPr>
          <w:ilvl w:val="0"/>
          <w:numId w:val="3"/>
        </w:numPr>
        <w:spacing w:after="0" w:line="240" w:lineRule="auto"/>
        <w:contextualSpacing w:val="0"/>
        <w:jc w:val="both"/>
        <w:rPr>
          <w:color w:val="000000" w:themeColor="text1"/>
          <w:sz w:val="24"/>
          <w:szCs w:val="24"/>
        </w:rPr>
      </w:pPr>
      <w:r>
        <w:rPr>
          <w:color w:val="000000" w:themeColor="text1"/>
          <w:sz w:val="24"/>
          <w:szCs w:val="24"/>
        </w:rPr>
        <w:t xml:space="preserve">Часть 40 статьи 3.4: </w:t>
      </w:r>
      <w:r w:rsidR="006106C8">
        <w:rPr>
          <w:color w:val="000000" w:themeColor="text1"/>
          <w:sz w:val="24"/>
          <w:szCs w:val="24"/>
        </w:rPr>
        <w:t xml:space="preserve">предлагается слова </w:t>
      </w:r>
      <w:r>
        <w:rPr>
          <w:color w:val="000000" w:themeColor="text1"/>
          <w:sz w:val="24"/>
          <w:szCs w:val="24"/>
        </w:rPr>
        <w:t>«уплата денежных сумм по банковской гарантии» заменить словами «предъявление требования платежа по банковской гарантии».</w:t>
      </w:r>
    </w:p>
    <w:p w:rsidR="00B50A56" w:rsidRPr="00B50A56" w:rsidRDefault="00B50A56" w:rsidP="009F4025">
      <w:pPr>
        <w:pStyle w:val="aa"/>
        <w:numPr>
          <w:ilvl w:val="0"/>
          <w:numId w:val="3"/>
        </w:numPr>
        <w:spacing w:after="0" w:line="240" w:lineRule="auto"/>
        <w:contextualSpacing w:val="0"/>
        <w:jc w:val="both"/>
        <w:rPr>
          <w:color w:val="000000" w:themeColor="text1"/>
          <w:sz w:val="24"/>
          <w:szCs w:val="24"/>
        </w:rPr>
      </w:pPr>
      <w:r w:rsidRPr="00B50A56">
        <w:rPr>
          <w:color w:val="000000" w:themeColor="text1"/>
          <w:sz w:val="24"/>
          <w:szCs w:val="24"/>
        </w:rPr>
        <w:t xml:space="preserve">Часть 41 статьи 3.4: </w:t>
      </w:r>
      <w:r w:rsidR="006106C8">
        <w:rPr>
          <w:color w:val="000000" w:themeColor="text1"/>
          <w:sz w:val="24"/>
          <w:szCs w:val="24"/>
        </w:rPr>
        <w:t xml:space="preserve">предлагается слова </w:t>
      </w:r>
      <w:r w:rsidRPr="00B50A56">
        <w:rPr>
          <w:color w:val="000000" w:themeColor="text1"/>
          <w:sz w:val="24"/>
          <w:szCs w:val="24"/>
        </w:rPr>
        <w:t>«Банковская гарантия, информация о ней и документы»</w:t>
      </w:r>
      <w:r w:rsidR="00517EDD">
        <w:rPr>
          <w:color w:val="000000" w:themeColor="text1"/>
          <w:sz w:val="24"/>
          <w:szCs w:val="24"/>
        </w:rPr>
        <w:t xml:space="preserve">, указанные </w:t>
      </w:r>
      <w:r w:rsidRPr="00B50A56">
        <w:rPr>
          <w:color w:val="000000" w:themeColor="text1"/>
          <w:sz w:val="24"/>
          <w:szCs w:val="24"/>
        </w:rPr>
        <w:t xml:space="preserve"> </w:t>
      </w:r>
      <w:r w:rsidR="00517EDD">
        <w:rPr>
          <w:color w:val="000000" w:themeColor="text1"/>
          <w:sz w:val="24"/>
          <w:szCs w:val="24"/>
        </w:rPr>
        <w:t xml:space="preserve">в начале данного пункта, </w:t>
      </w:r>
      <w:r w:rsidRPr="00B50A56">
        <w:rPr>
          <w:color w:val="000000" w:themeColor="text1"/>
          <w:sz w:val="24"/>
          <w:szCs w:val="24"/>
        </w:rPr>
        <w:t xml:space="preserve">заменить </w:t>
      </w:r>
      <w:proofErr w:type="gramStart"/>
      <w:r w:rsidR="006106C8">
        <w:rPr>
          <w:color w:val="000000" w:themeColor="text1"/>
          <w:sz w:val="24"/>
          <w:szCs w:val="24"/>
        </w:rPr>
        <w:t>на</w:t>
      </w:r>
      <w:proofErr w:type="gramEnd"/>
      <w:r w:rsidRPr="00B50A56">
        <w:rPr>
          <w:color w:val="000000" w:themeColor="text1"/>
          <w:sz w:val="24"/>
          <w:szCs w:val="24"/>
        </w:rPr>
        <w:t xml:space="preserve"> «</w:t>
      </w:r>
      <w:proofErr w:type="gramStart"/>
      <w:r w:rsidRPr="00B50A56">
        <w:rPr>
          <w:color w:val="000000" w:themeColor="text1"/>
          <w:sz w:val="24"/>
          <w:szCs w:val="24"/>
        </w:rPr>
        <w:t>Информация</w:t>
      </w:r>
      <w:proofErr w:type="gramEnd"/>
      <w:r w:rsidRPr="00B50A56">
        <w:rPr>
          <w:color w:val="000000" w:themeColor="text1"/>
          <w:sz w:val="24"/>
          <w:szCs w:val="24"/>
        </w:rPr>
        <w:t xml:space="preserve"> о банковской гарантии и документы» </w:t>
      </w:r>
      <w:r w:rsidR="00517EDD">
        <w:rPr>
          <w:color w:val="000000" w:themeColor="text1"/>
          <w:sz w:val="24"/>
          <w:szCs w:val="24"/>
        </w:rPr>
        <w:t>(</w:t>
      </w:r>
      <w:r w:rsidRPr="00B50A56">
        <w:rPr>
          <w:color w:val="000000" w:themeColor="text1"/>
          <w:sz w:val="24"/>
          <w:szCs w:val="24"/>
        </w:rPr>
        <w:t xml:space="preserve">по аналогии с </w:t>
      </w:r>
      <w:r w:rsidR="00517EDD">
        <w:rPr>
          <w:color w:val="000000" w:themeColor="text1"/>
          <w:sz w:val="24"/>
          <w:szCs w:val="24"/>
        </w:rPr>
        <w:t xml:space="preserve">Законом </w:t>
      </w:r>
      <w:r w:rsidRPr="00B50A56">
        <w:rPr>
          <w:color w:val="000000" w:themeColor="text1"/>
          <w:sz w:val="24"/>
          <w:szCs w:val="24"/>
        </w:rPr>
        <w:t>44-ФЗ</w:t>
      </w:r>
      <w:r w:rsidR="00517EDD">
        <w:rPr>
          <w:color w:val="000000" w:themeColor="text1"/>
          <w:sz w:val="24"/>
          <w:szCs w:val="24"/>
        </w:rPr>
        <w:t>)</w:t>
      </w:r>
      <w:r w:rsidRPr="00B50A56">
        <w:rPr>
          <w:color w:val="000000" w:themeColor="text1"/>
          <w:sz w:val="24"/>
          <w:szCs w:val="24"/>
        </w:rPr>
        <w:t xml:space="preserve">. </w:t>
      </w:r>
      <w:r w:rsidR="00517EDD">
        <w:rPr>
          <w:color w:val="000000" w:themeColor="text1"/>
          <w:sz w:val="24"/>
          <w:szCs w:val="24"/>
        </w:rPr>
        <w:t>Обращаем внимание</w:t>
      </w:r>
      <w:r w:rsidRPr="00B50A56">
        <w:rPr>
          <w:color w:val="000000" w:themeColor="text1"/>
          <w:sz w:val="24"/>
          <w:szCs w:val="24"/>
        </w:rPr>
        <w:t>,</w:t>
      </w:r>
      <w:r w:rsidR="00517EDD">
        <w:rPr>
          <w:color w:val="000000" w:themeColor="text1"/>
          <w:sz w:val="24"/>
          <w:szCs w:val="24"/>
        </w:rPr>
        <w:t xml:space="preserve"> что, согласно Закону</w:t>
      </w:r>
      <w:r w:rsidRPr="00B50A56">
        <w:rPr>
          <w:color w:val="000000" w:themeColor="text1"/>
          <w:sz w:val="24"/>
          <w:szCs w:val="24"/>
        </w:rPr>
        <w:t xml:space="preserve"> 44-ФЗ</w:t>
      </w:r>
      <w:r w:rsidR="00517EDD">
        <w:rPr>
          <w:color w:val="000000" w:themeColor="text1"/>
          <w:sz w:val="24"/>
          <w:szCs w:val="24"/>
        </w:rPr>
        <w:t>,</w:t>
      </w:r>
      <w:r w:rsidRPr="00B50A56">
        <w:rPr>
          <w:color w:val="000000" w:themeColor="text1"/>
          <w:sz w:val="24"/>
          <w:szCs w:val="24"/>
        </w:rPr>
        <w:t xml:space="preserve"> в реестре банковских гарантий размещается копия банковской гарантии, а не сама банковская гарантия.</w:t>
      </w:r>
    </w:p>
    <w:p w:rsidR="00B50A56" w:rsidRPr="00D270FC" w:rsidRDefault="00B50A56" w:rsidP="009F4025">
      <w:pPr>
        <w:pStyle w:val="aa"/>
        <w:numPr>
          <w:ilvl w:val="0"/>
          <w:numId w:val="3"/>
        </w:numPr>
        <w:spacing w:after="0" w:line="240" w:lineRule="auto"/>
        <w:contextualSpacing w:val="0"/>
        <w:jc w:val="both"/>
        <w:rPr>
          <w:color w:val="000000" w:themeColor="text1"/>
          <w:sz w:val="24"/>
          <w:szCs w:val="24"/>
        </w:rPr>
      </w:pPr>
      <w:r w:rsidRPr="00D270FC">
        <w:rPr>
          <w:color w:val="000000" w:themeColor="text1"/>
          <w:sz w:val="24"/>
          <w:szCs w:val="24"/>
        </w:rPr>
        <w:t xml:space="preserve">Часть 43 статьи 3.4: </w:t>
      </w:r>
      <w:r w:rsidR="006106C8">
        <w:rPr>
          <w:color w:val="000000" w:themeColor="text1"/>
          <w:sz w:val="24"/>
          <w:szCs w:val="24"/>
        </w:rPr>
        <w:t xml:space="preserve">предлагается </w:t>
      </w:r>
      <w:r w:rsidR="001D2ABF" w:rsidRPr="00D270FC">
        <w:rPr>
          <w:color w:val="000000" w:themeColor="text1"/>
          <w:sz w:val="24"/>
          <w:szCs w:val="24"/>
        </w:rPr>
        <w:t>исключить</w:t>
      </w:r>
      <w:r w:rsidR="00517EDD" w:rsidRPr="00D270FC">
        <w:rPr>
          <w:color w:val="000000" w:themeColor="text1"/>
          <w:sz w:val="24"/>
          <w:szCs w:val="24"/>
        </w:rPr>
        <w:t xml:space="preserve"> слова «форма банковской гарантии</w:t>
      </w:r>
      <w:proofErr w:type="gramStart"/>
      <w:r w:rsidR="00517EDD" w:rsidRPr="00D270FC">
        <w:rPr>
          <w:color w:val="000000" w:themeColor="text1"/>
          <w:sz w:val="24"/>
          <w:szCs w:val="24"/>
        </w:rPr>
        <w:t>,»</w:t>
      </w:r>
      <w:proofErr w:type="gramEnd"/>
      <w:r w:rsidR="001D2ABF" w:rsidRPr="00D270FC">
        <w:rPr>
          <w:color w:val="000000" w:themeColor="text1"/>
          <w:sz w:val="24"/>
          <w:szCs w:val="24"/>
        </w:rPr>
        <w:t>. Т</w:t>
      </w:r>
      <w:r w:rsidRPr="00D270FC">
        <w:rPr>
          <w:color w:val="000000" w:themeColor="text1"/>
          <w:sz w:val="24"/>
          <w:szCs w:val="24"/>
        </w:rPr>
        <w:t>ребовани</w:t>
      </w:r>
      <w:r w:rsidR="001D2ABF" w:rsidRPr="00D270FC">
        <w:rPr>
          <w:color w:val="000000" w:themeColor="text1"/>
          <w:sz w:val="24"/>
          <w:szCs w:val="24"/>
        </w:rPr>
        <w:t>е в отношении формы банковской гарантии отсутствует в</w:t>
      </w:r>
      <w:r w:rsidR="00287D5F" w:rsidRPr="00D270FC">
        <w:rPr>
          <w:color w:val="000000" w:themeColor="text1"/>
          <w:sz w:val="24"/>
          <w:szCs w:val="24"/>
        </w:rPr>
        <w:t xml:space="preserve"> Законе</w:t>
      </w:r>
      <w:r w:rsidR="001D2ABF" w:rsidRPr="00D270FC">
        <w:rPr>
          <w:color w:val="000000" w:themeColor="text1"/>
          <w:sz w:val="24"/>
          <w:szCs w:val="24"/>
        </w:rPr>
        <w:t xml:space="preserve"> </w:t>
      </w:r>
      <w:r w:rsidRPr="00D270FC">
        <w:rPr>
          <w:color w:val="000000" w:themeColor="text1"/>
          <w:sz w:val="24"/>
          <w:szCs w:val="24"/>
        </w:rPr>
        <w:t>44-ФЗ</w:t>
      </w:r>
      <w:r w:rsidR="00287D5F" w:rsidRPr="00D270FC">
        <w:rPr>
          <w:color w:val="000000" w:themeColor="text1"/>
          <w:sz w:val="24"/>
          <w:szCs w:val="24"/>
        </w:rPr>
        <w:t>.</w:t>
      </w:r>
      <w:r w:rsidRPr="00D270FC">
        <w:rPr>
          <w:color w:val="000000" w:themeColor="text1"/>
          <w:sz w:val="24"/>
          <w:szCs w:val="24"/>
        </w:rPr>
        <w:t xml:space="preserve"> </w:t>
      </w:r>
      <w:r w:rsidR="00287D5F" w:rsidRPr="00D270FC">
        <w:rPr>
          <w:color w:val="000000" w:themeColor="text1"/>
          <w:sz w:val="24"/>
          <w:szCs w:val="24"/>
        </w:rPr>
        <w:t>У</w:t>
      </w:r>
      <w:r w:rsidRPr="00D270FC">
        <w:rPr>
          <w:color w:val="000000" w:themeColor="text1"/>
          <w:sz w:val="24"/>
          <w:szCs w:val="24"/>
        </w:rPr>
        <w:t xml:space="preserve"> банков-гарантов могут различаться тексты </w:t>
      </w:r>
      <w:r w:rsidR="00287D5F" w:rsidRPr="00D270FC">
        <w:rPr>
          <w:color w:val="000000" w:themeColor="text1"/>
          <w:sz w:val="24"/>
          <w:szCs w:val="24"/>
        </w:rPr>
        <w:t xml:space="preserve">(формы) </w:t>
      </w:r>
      <w:r w:rsidRPr="00D270FC">
        <w:rPr>
          <w:color w:val="000000" w:themeColor="text1"/>
          <w:sz w:val="24"/>
          <w:szCs w:val="24"/>
        </w:rPr>
        <w:t>гарантий при условии, что гарантии</w:t>
      </w:r>
      <w:r w:rsidR="00287D5F" w:rsidRPr="00D270FC">
        <w:rPr>
          <w:color w:val="000000" w:themeColor="text1"/>
          <w:sz w:val="24"/>
          <w:szCs w:val="24"/>
        </w:rPr>
        <w:t xml:space="preserve">, </w:t>
      </w:r>
      <w:proofErr w:type="gramStart"/>
      <w:r w:rsidR="00287D5F" w:rsidRPr="00D270FC">
        <w:rPr>
          <w:color w:val="000000" w:themeColor="text1"/>
          <w:sz w:val="24"/>
          <w:szCs w:val="24"/>
        </w:rPr>
        <w:t>выдаваемые</w:t>
      </w:r>
      <w:proofErr w:type="gramEnd"/>
      <w:r w:rsidR="00287D5F" w:rsidRPr="00D270FC">
        <w:rPr>
          <w:color w:val="000000" w:themeColor="text1"/>
          <w:sz w:val="24"/>
          <w:szCs w:val="24"/>
        </w:rPr>
        <w:t xml:space="preserve"> а рамках Закона 223-ФЗ / Закона 44-ФЗ,</w:t>
      </w:r>
      <w:r w:rsidRPr="00D270FC">
        <w:rPr>
          <w:color w:val="000000" w:themeColor="text1"/>
          <w:sz w:val="24"/>
          <w:szCs w:val="24"/>
        </w:rPr>
        <w:t xml:space="preserve"> соответствуют установленным требованиям.</w:t>
      </w:r>
      <w:r w:rsidR="00D270FC" w:rsidRPr="00D270FC">
        <w:rPr>
          <w:color w:val="000000" w:themeColor="text1"/>
          <w:sz w:val="24"/>
          <w:szCs w:val="24"/>
        </w:rPr>
        <w:t xml:space="preserve"> </w:t>
      </w:r>
      <w:r w:rsidR="00D270FC">
        <w:rPr>
          <w:color w:val="000000" w:themeColor="text1"/>
          <w:sz w:val="24"/>
          <w:szCs w:val="24"/>
        </w:rPr>
        <w:t>Указание</w:t>
      </w:r>
      <w:r w:rsidR="00D270FC" w:rsidRPr="00D270FC">
        <w:rPr>
          <w:color w:val="000000" w:themeColor="text1"/>
          <w:sz w:val="24"/>
          <w:szCs w:val="24"/>
        </w:rPr>
        <w:t xml:space="preserve"> формы требования также считаем излишним и предлагаем удалить.</w:t>
      </w:r>
    </w:p>
    <w:p w:rsidR="00B50A56" w:rsidRPr="001D2ABF" w:rsidRDefault="00B50A56" w:rsidP="009F4025">
      <w:pPr>
        <w:pStyle w:val="aa"/>
        <w:numPr>
          <w:ilvl w:val="0"/>
          <w:numId w:val="3"/>
        </w:numPr>
        <w:spacing w:after="0" w:line="240" w:lineRule="auto"/>
        <w:contextualSpacing w:val="0"/>
        <w:jc w:val="both"/>
        <w:rPr>
          <w:color w:val="000000" w:themeColor="text1"/>
          <w:sz w:val="24"/>
          <w:szCs w:val="24"/>
        </w:rPr>
      </w:pPr>
      <w:r w:rsidRPr="00B50A56">
        <w:rPr>
          <w:color w:val="000000" w:themeColor="text1"/>
          <w:sz w:val="24"/>
          <w:szCs w:val="24"/>
        </w:rPr>
        <w:t xml:space="preserve">Часть 44 статьи 3.4: формулировка </w:t>
      </w:r>
      <w:r w:rsidR="00287D5F">
        <w:rPr>
          <w:color w:val="000000" w:themeColor="text1"/>
          <w:sz w:val="24"/>
          <w:szCs w:val="24"/>
        </w:rPr>
        <w:t>не</w:t>
      </w:r>
      <w:r w:rsidR="00287D5F" w:rsidRPr="00B50A56">
        <w:rPr>
          <w:color w:val="000000" w:themeColor="text1"/>
          <w:sz w:val="24"/>
          <w:szCs w:val="24"/>
        </w:rPr>
        <w:t xml:space="preserve"> </w:t>
      </w:r>
      <w:r w:rsidRPr="00B50A56">
        <w:rPr>
          <w:color w:val="000000" w:themeColor="text1"/>
          <w:sz w:val="24"/>
          <w:szCs w:val="24"/>
        </w:rPr>
        <w:t xml:space="preserve">содержит </w:t>
      </w:r>
      <w:proofErr w:type="gramStart"/>
      <w:r w:rsidRPr="00B50A56">
        <w:rPr>
          <w:color w:val="000000" w:themeColor="text1"/>
          <w:sz w:val="24"/>
          <w:szCs w:val="24"/>
        </w:rPr>
        <w:t>упоминания про</w:t>
      </w:r>
      <w:proofErr w:type="gramEnd"/>
      <w:r w:rsidRPr="00B50A56">
        <w:rPr>
          <w:color w:val="000000" w:themeColor="text1"/>
          <w:sz w:val="24"/>
          <w:szCs w:val="24"/>
        </w:rPr>
        <w:t xml:space="preserve"> закрытый реестр банковских гарантий. Предл</w:t>
      </w:r>
      <w:r w:rsidR="00287D5F">
        <w:rPr>
          <w:color w:val="000000" w:themeColor="text1"/>
          <w:sz w:val="24"/>
          <w:szCs w:val="24"/>
        </w:rPr>
        <w:t>агаем</w:t>
      </w:r>
      <w:r w:rsidRPr="00B50A56">
        <w:rPr>
          <w:color w:val="000000" w:themeColor="text1"/>
          <w:sz w:val="24"/>
          <w:szCs w:val="24"/>
        </w:rPr>
        <w:t xml:space="preserve"> изложить данную часть по аналогии с частью 11 статьи 45 </w:t>
      </w:r>
      <w:r w:rsidR="00287D5F">
        <w:rPr>
          <w:color w:val="000000" w:themeColor="text1"/>
          <w:sz w:val="24"/>
          <w:szCs w:val="24"/>
        </w:rPr>
        <w:t xml:space="preserve">Закона </w:t>
      </w:r>
      <w:r w:rsidRPr="00B50A56">
        <w:rPr>
          <w:color w:val="000000" w:themeColor="text1"/>
          <w:sz w:val="24"/>
          <w:szCs w:val="24"/>
        </w:rPr>
        <w:t>44-ФЗ.</w:t>
      </w:r>
      <w:r>
        <w:rPr>
          <w:color w:val="000000" w:themeColor="text1"/>
          <w:sz w:val="24"/>
          <w:szCs w:val="24"/>
        </w:rPr>
        <w:t xml:space="preserve"> Также </w:t>
      </w:r>
      <w:r w:rsidR="006106C8">
        <w:rPr>
          <w:color w:val="000000" w:themeColor="text1"/>
          <w:sz w:val="24"/>
          <w:szCs w:val="24"/>
        </w:rPr>
        <w:t>необходимо</w:t>
      </w:r>
      <w:r>
        <w:rPr>
          <w:color w:val="000000" w:themeColor="text1"/>
          <w:sz w:val="24"/>
          <w:szCs w:val="24"/>
        </w:rPr>
        <w:t xml:space="preserve"> </w:t>
      </w:r>
      <w:r w:rsidR="00905AF7">
        <w:rPr>
          <w:rFonts w:cstheme="minorHAnsi"/>
          <w:sz w:val="24"/>
          <w:szCs w:val="24"/>
        </w:rPr>
        <w:t xml:space="preserve">учесть предстоящее с 1 июля </w:t>
      </w:r>
      <w:r w:rsidR="00287D5F">
        <w:rPr>
          <w:rFonts w:cstheme="minorHAnsi"/>
          <w:sz w:val="24"/>
          <w:szCs w:val="24"/>
        </w:rPr>
        <w:t xml:space="preserve">2018 г. </w:t>
      </w:r>
      <w:r w:rsidR="00905AF7">
        <w:rPr>
          <w:rFonts w:cstheme="minorHAnsi"/>
          <w:sz w:val="24"/>
          <w:szCs w:val="24"/>
        </w:rPr>
        <w:t>вступление в силу П</w:t>
      </w:r>
      <w:r w:rsidR="00905AF7" w:rsidRPr="0090196D">
        <w:rPr>
          <w:rFonts w:cstheme="minorHAnsi"/>
          <w:sz w:val="24"/>
          <w:szCs w:val="24"/>
        </w:rPr>
        <w:t xml:space="preserve">остановления Правительства РФ от 29.05.2018 </w:t>
      </w:r>
      <w:r w:rsidR="006106C8">
        <w:rPr>
          <w:rFonts w:cstheme="minorHAnsi"/>
          <w:sz w:val="24"/>
          <w:szCs w:val="24"/>
        </w:rPr>
        <w:t>№</w:t>
      </w:r>
      <w:r w:rsidR="00905AF7" w:rsidRPr="0090196D">
        <w:rPr>
          <w:rFonts w:cstheme="minorHAnsi"/>
          <w:sz w:val="24"/>
          <w:szCs w:val="24"/>
        </w:rPr>
        <w:t xml:space="preserve"> 608</w:t>
      </w:r>
      <w:r w:rsidR="00905AF7">
        <w:rPr>
          <w:rFonts w:cstheme="minorHAnsi"/>
          <w:sz w:val="24"/>
          <w:szCs w:val="24"/>
        </w:rPr>
        <w:t xml:space="preserve"> в части </w:t>
      </w:r>
      <w:r w:rsidR="00905AF7" w:rsidRPr="0090196D">
        <w:rPr>
          <w:rFonts w:cstheme="minorHAnsi"/>
          <w:sz w:val="24"/>
          <w:szCs w:val="24"/>
        </w:rPr>
        <w:t>требования о том, что информация о банковских гарантиях, предоставляемых в качестве обеспечения заявок и исполнения контрактов, не размещается на официальном сайте</w:t>
      </w:r>
      <w:r w:rsidR="00905AF7">
        <w:rPr>
          <w:rFonts w:eastAsia="Times New Roman"/>
        </w:rPr>
        <w:t xml:space="preserve"> </w:t>
      </w:r>
      <w:hyperlink r:id="rId10" w:history="1">
        <w:r w:rsidR="00905AF7" w:rsidRPr="006106C8">
          <w:rPr>
            <w:rStyle w:val="ae"/>
            <w:rFonts w:eastAsia="Times New Roman"/>
            <w:sz w:val="24"/>
          </w:rPr>
          <w:t>zakupki.gov.ru</w:t>
        </w:r>
      </w:hyperlink>
      <w:r w:rsidR="00905AF7">
        <w:rPr>
          <w:rFonts w:eastAsia="Times New Roman"/>
        </w:rPr>
        <w:t>.</w:t>
      </w:r>
    </w:p>
    <w:p w:rsidR="001D2ABF" w:rsidRPr="00B50A56" w:rsidRDefault="001D2ABF" w:rsidP="009F4025">
      <w:pPr>
        <w:pStyle w:val="aa"/>
        <w:numPr>
          <w:ilvl w:val="0"/>
          <w:numId w:val="3"/>
        </w:numPr>
        <w:spacing w:after="0" w:line="240" w:lineRule="auto"/>
        <w:contextualSpacing w:val="0"/>
        <w:jc w:val="both"/>
        <w:rPr>
          <w:color w:val="000000" w:themeColor="text1"/>
          <w:sz w:val="24"/>
          <w:szCs w:val="24"/>
        </w:rPr>
      </w:pPr>
      <w:r w:rsidRPr="001D2ABF">
        <w:rPr>
          <w:color w:val="000000" w:themeColor="text1"/>
          <w:sz w:val="24"/>
          <w:szCs w:val="24"/>
        </w:rPr>
        <w:t>Предусмотреть в законопроекте, что способ обеспечение заявки на участие в конкурентной закупке и исполнения обязательств по договору определяются участником закупки самостоятельно.</w:t>
      </w:r>
    </w:p>
    <w:sectPr w:rsidR="001D2ABF" w:rsidRPr="00B50A56" w:rsidSect="006A7560">
      <w:headerReference w:type="default" r:id="rId11"/>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80" w:rsidRDefault="00497080" w:rsidP="0055633C">
      <w:pPr>
        <w:spacing w:after="0" w:line="240" w:lineRule="auto"/>
      </w:pPr>
      <w:r>
        <w:separator/>
      </w:r>
    </w:p>
  </w:endnote>
  <w:endnote w:type="continuationSeparator" w:id="0">
    <w:p w:rsidR="00497080" w:rsidRDefault="00497080" w:rsidP="005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80" w:rsidRDefault="00497080" w:rsidP="0055633C">
      <w:pPr>
        <w:spacing w:after="0" w:line="240" w:lineRule="auto"/>
      </w:pPr>
      <w:r>
        <w:separator/>
      </w:r>
    </w:p>
  </w:footnote>
  <w:footnote w:type="continuationSeparator" w:id="0">
    <w:p w:rsidR="00497080" w:rsidRDefault="00497080" w:rsidP="0055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97261"/>
      <w:docPartObj>
        <w:docPartGallery w:val="Page Numbers (Top of Page)"/>
        <w:docPartUnique/>
      </w:docPartObj>
    </w:sdtPr>
    <w:sdtEndPr/>
    <w:sdtContent>
      <w:p w:rsidR="00FE7101" w:rsidRDefault="006A7560">
        <w:pPr>
          <w:pStyle w:val="a5"/>
          <w:jc w:val="center"/>
        </w:pPr>
        <w:r>
          <w:rPr>
            <w:noProof/>
            <w:lang w:eastAsia="ru-RU"/>
          </w:rPr>
          <w:drawing>
            <wp:anchor distT="0" distB="0" distL="114300" distR="114300" simplePos="0" relativeHeight="251657216" behindDoc="1" locked="0" layoutInCell="1" allowOverlap="1" wp14:anchorId="002EDA22" wp14:editId="2072F6D3">
              <wp:simplePos x="0" y="0"/>
              <wp:positionH relativeFrom="column">
                <wp:posOffset>28575</wp:posOffset>
              </wp:positionH>
              <wp:positionV relativeFrom="paragraph">
                <wp:posOffset>-116205</wp:posOffset>
              </wp:positionV>
              <wp:extent cx="6181725" cy="542925"/>
              <wp:effectExtent l="0" t="0" r="9525" b="9525"/>
              <wp:wrapNone/>
              <wp:docPr id="37" name="Рисунок 37" descr="C:\Users\SalnikovIV\AppData\Local\Microsoft\Windows\Temporary Internet Files\Content.Word\Ле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nikovIV\AppData\Local\Microsoft\Windows\Temporary Internet Files\Content.Word\Лента.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1725" cy="542925"/>
                      </a:xfrm>
                      <a:prstGeom prst="rect">
                        <a:avLst/>
                      </a:prstGeom>
                      <a:noFill/>
                      <a:ln>
                        <a:noFill/>
                      </a:ln>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C8C"/>
    <w:multiLevelType w:val="hybridMultilevel"/>
    <w:tmpl w:val="6A48A828"/>
    <w:lvl w:ilvl="0" w:tplc="5A54B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A5832"/>
    <w:multiLevelType w:val="hybridMultilevel"/>
    <w:tmpl w:val="9550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C4867"/>
    <w:multiLevelType w:val="hybridMultilevel"/>
    <w:tmpl w:val="B5A85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A636FA1"/>
    <w:multiLevelType w:val="hybridMultilevel"/>
    <w:tmpl w:val="B92A3182"/>
    <w:lvl w:ilvl="0" w:tplc="5A54B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CE"/>
    <w:rsid w:val="000048ED"/>
    <w:rsid w:val="00004959"/>
    <w:rsid w:val="00051200"/>
    <w:rsid w:val="00051FC8"/>
    <w:rsid w:val="000546E9"/>
    <w:rsid w:val="00067770"/>
    <w:rsid w:val="000777E9"/>
    <w:rsid w:val="000A1215"/>
    <w:rsid w:val="000A5542"/>
    <w:rsid w:val="000C1A41"/>
    <w:rsid w:val="000F4752"/>
    <w:rsid w:val="0010325E"/>
    <w:rsid w:val="001863CB"/>
    <w:rsid w:val="001960B2"/>
    <w:rsid w:val="001C6D94"/>
    <w:rsid w:val="001D2ABF"/>
    <w:rsid w:val="00220457"/>
    <w:rsid w:val="00287D5F"/>
    <w:rsid w:val="002A35B2"/>
    <w:rsid w:val="002F0AE0"/>
    <w:rsid w:val="0033609E"/>
    <w:rsid w:val="0035569E"/>
    <w:rsid w:val="00374BB2"/>
    <w:rsid w:val="0038461D"/>
    <w:rsid w:val="003D6679"/>
    <w:rsid w:val="003F4726"/>
    <w:rsid w:val="003F63CB"/>
    <w:rsid w:val="00420878"/>
    <w:rsid w:val="00426482"/>
    <w:rsid w:val="00430D0A"/>
    <w:rsid w:val="004338CE"/>
    <w:rsid w:val="00435187"/>
    <w:rsid w:val="0044290E"/>
    <w:rsid w:val="00461CDD"/>
    <w:rsid w:val="00497080"/>
    <w:rsid w:val="004D497E"/>
    <w:rsid w:val="00505A82"/>
    <w:rsid w:val="00511647"/>
    <w:rsid w:val="00517EDD"/>
    <w:rsid w:val="00546A34"/>
    <w:rsid w:val="0055633C"/>
    <w:rsid w:val="00573E6C"/>
    <w:rsid w:val="005751E7"/>
    <w:rsid w:val="005A2E85"/>
    <w:rsid w:val="005B6774"/>
    <w:rsid w:val="005C1538"/>
    <w:rsid w:val="005D2E5B"/>
    <w:rsid w:val="005E5563"/>
    <w:rsid w:val="005F02B6"/>
    <w:rsid w:val="005F0478"/>
    <w:rsid w:val="00600ABD"/>
    <w:rsid w:val="006106C8"/>
    <w:rsid w:val="00623667"/>
    <w:rsid w:val="00632C5E"/>
    <w:rsid w:val="00641698"/>
    <w:rsid w:val="00652F9D"/>
    <w:rsid w:val="006A074A"/>
    <w:rsid w:val="006A7560"/>
    <w:rsid w:val="006C38E9"/>
    <w:rsid w:val="006C6D6A"/>
    <w:rsid w:val="007B7874"/>
    <w:rsid w:val="007C6C38"/>
    <w:rsid w:val="007E78E2"/>
    <w:rsid w:val="007F62B4"/>
    <w:rsid w:val="008A36C4"/>
    <w:rsid w:val="008A4063"/>
    <w:rsid w:val="008E7F4E"/>
    <w:rsid w:val="0090196D"/>
    <w:rsid w:val="00905AF7"/>
    <w:rsid w:val="0090629B"/>
    <w:rsid w:val="00907595"/>
    <w:rsid w:val="009219CA"/>
    <w:rsid w:val="00936BF6"/>
    <w:rsid w:val="00942075"/>
    <w:rsid w:val="009D4D0D"/>
    <w:rsid w:val="009E0E50"/>
    <w:rsid w:val="009F4025"/>
    <w:rsid w:val="00A12048"/>
    <w:rsid w:val="00A23C20"/>
    <w:rsid w:val="00A35245"/>
    <w:rsid w:val="00AB7BD4"/>
    <w:rsid w:val="00AD5666"/>
    <w:rsid w:val="00B17D0C"/>
    <w:rsid w:val="00B43F38"/>
    <w:rsid w:val="00B50A56"/>
    <w:rsid w:val="00B555F7"/>
    <w:rsid w:val="00B62611"/>
    <w:rsid w:val="00B81A85"/>
    <w:rsid w:val="00BF7BD9"/>
    <w:rsid w:val="00C3193F"/>
    <w:rsid w:val="00C44DF7"/>
    <w:rsid w:val="00C52C24"/>
    <w:rsid w:val="00C66E3C"/>
    <w:rsid w:val="00C72821"/>
    <w:rsid w:val="00CC2B66"/>
    <w:rsid w:val="00CC6D31"/>
    <w:rsid w:val="00CD5871"/>
    <w:rsid w:val="00CF39C2"/>
    <w:rsid w:val="00D0047B"/>
    <w:rsid w:val="00D270FC"/>
    <w:rsid w:val="00D55731"/>
    <w:rsid w:val="00D56DAB"/>
    <w:rsid w:val="00D601EF"/>
    <w:rsid w:val="00D72619"/>
    <w:rsid w:val="00D843A6"/>
    <w:rsid w:val="00D97FD0"/>
    <w:rsid w:val="00DB7708"/>
    <w:rsid w:val="00E24EC3"/>
    <w:rsid w:val="00E741AA"/>
    <w:rsid w:val="00E955CE"/>
    <w:rsid w:val="00EC5B06"/>
    <w:rsid w:val="00F51B76"/>
    <w:rsid w:val="00F54AD3"/>
    <w:rsid w:val="00F63151"/>
    <w:rsid w:val="00F737A4"/>
    <w:rsid w:val="00F80072"/>
    <w:rsid w:val="00F81DD1"/>
    <w:rsid w:val="00FA2BEF"/>
    <w:rsid w:val="00FD17EF"/>
    <w:rsid w:val="00FE7101"/>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633C"/>
    <w:pPr>
      <w:spacing w:after="0" w:line="240" w:lineRule="auto"/>
      <w:jc w:val="both"/>
    </w:pPr>
    <w:rPr>
      <w:rFonts w:ascii="Times New Roman" w:hAnsi="Times New Roman" w:cs="Times New Roman"/>
      <w:sz w:val="26"/>
      <w:szCs w:val="26"/>
      <w:lang w:eastAsia="ru-RU"/>
    </w:rPr>
  </w:style>
  <w:style w:type="character" w:customStyle="1" w:styleId="a4">
    <w:name w:val="Основной текст Знак"/>
    <w:basedOn w:val="a0"/>
    <w:link w:val="a3"/>
    <w:uiPriority w:val="99"/>
    <w:semiHidden/>
    <w:rsid w:val="0055633C"/>
    <w:rPr>
      <w:rFonts w:ascii="Times New Roman" w:hAnsi="Times New Roman" w:cs="Times New Roman"/>
      <w:sz w:val="26"/>
      <w:szCs w:val="26"/>
      <w:lang w:eastAsia="ru-RU"/>
    </w:rPr>
  </w:style>
  <w:style w:type="paragraph" w:styleId="a5">
    <w:name w:val="header"/>
    <w:basedOn w:val="a"/>
    <w:link w:val="a6"/>
    <w:uiPriority w:val="99"/>
    <w:unhideWhenUsed/>
    <w:rsid w:val="005563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33C"/>
  </w:style>
  <w:style w:type="paragraph" w:styleId="a7">
    <w:name w:val="footer"/>
    <w:basedOn w:val="a"/>
    <w:link w:val="a8"/>
    <w:uiPriority w:val="99"/>
    <w:unhideWhenUsed/>
    <w:rsid w:val="005563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33C"/>
  </w:style>
  <w:style w:type="table" w:styleId="a9">
    <w:name w:val="Table Grid"/>
    <w:basedOn w:val="a1"/>
    <w:uiPriority w:val="59"/>
    <w:rsid w:val="00CC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5731"/>
    <w:pPr>
      <w:ind w:left="720"/>
      <w:contextualSpacing/>
    </w:pPr>
  </w:style>
  <w:style w:type="paragraph" w:styleId="ab">
    <w:name w:val="Balloon Text"/>
    <w:basedOn w:val="a"/>
    <w:link w:val="ac"/>
    <w:uiPriority w:val="99"/>
    <w:semiHidden/>
    <w:unhideWhenUsed/>
    <w:rsid w:val="00F631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151"/>
    <w:rPr>
      <w:rFonts w:ascii="Tahoma" w:hAnsi="Tahoma" w:cs="Tahoma"/>
      <w:sz w:val="16"/>
      <w:szCs w:val="16"/>
    </w:rPr>
  </w:style>
  <w:style w:type="paragraph" w:customStyle="1" w:styleId="ad">
    <w:name w:val="Знак Знак"/>
    <w:basedOn w:val="a"/>
    <w:rsid w:val="00F63151"/>
    <w:pPr>
      <w:spacing w:after="0" w:line="240" w:lineRule="auto"/>
    </w:pPr>
    <w:rPr>
      <w:rFonts w:ascii="Verdana" w:eastAsia="Times New Roman" w:hAnsi="Verdana" w:cs="Verdana"/>
      <w:sz w:val="20"/>
      <w:szCs w:val="20"/>
      <w:lang w:val="en-US"/>
    </w:rPr>
  </w:style>
  <w:style w:type="character" w:styleId="ae">
    <w:name w:val="Hyperlink"/>
    <w:basedOn w:val="a0"/>
    <w:uiPriority w:val="99"/>
    <w:unhideWhenUsed/>
    <w:rsid w:val="001863CB"/>
    <w:rPr>
      <w:color w:val="0000FF" w:themeColor="hyperlink"/>
      <w:u w:val="single"/>
    </w:rPr>
  </w:style>
  <w:style w:type="paragraph" w:styleId="af">
    <w:name w:val="annotation text"/>
    <w:basedOn w:val="a"/>
    <w:link w:val="af0"/>
    <w:uiPriority w:val="99"/>
    <w:semiHidden/>
    <w:unhideWhenUsed/>
    <w:rsid w:val="00D270FC"/>
    <w:pPr>
      <w:spacing w:line="240" w:lineRule="auto"/>
    </w:pPr>
    <w:rPr>
      <w:sz w:val="20"/>
      <w:szCs w:val="20"/>
    </w:rPr>
  </w:style>
  <w:style w:type="character" w:customStyle="1" w:styleId="af0">
    <w:name w:val="Текст примечания Знак"/>
    <w:basedOn w:val="a0"/>
    <w:link w:val="af"/>
    <w:uiPriority w:val="99"/>
    <w:semiHidden/>
    <w:rsid w:val="00D270F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633C"/>
    <w:pPr>
      <w:spacing w:after="0" w:line="240" w:lineRule="auto"/>
      <w:jc w:val="both"/>
    </w:pPr>
    <w:rPr>
      <w:rFonts w:ascii="Times New Roman" w:hAnsi="Times New Roman" w:cs="Times New Roman"/>
      <w:sz w:val="26"/>
      <w:szCs w:val="26"/>
      <w:lang w:eastAsia="ru-RU"/>
    </w:rPr>
  </w:style>
  <w:style w:type="character" w:customStyle="1" w:styleId="a4">
    <w:name w:val="Основной текст Знак"/>
    <w:basedOn w:val="a0"/>
    <w:link w:val="a3"/>
    <w:uiPriority w:val="99"/>
    <w:semiHidden/>
    <w:rsid w:val="0055633C"/>
    <w:rPr>
      <w:rFonts w:ascii="Times New Roman" w:hAnsi="Times New Roman" w:cs="Times New Roman"/>
      <w:sz w:val="26"/>
      <w:szCs w:val="26"/>
      <w:lang w:eastAsia="ru-RU"/>
    </w:rPr>
  </w:style>
  <w:style w:type="paragraph" w:styleId="a5">
    <w:name w:val="header"/>
    <w:basedOn w:val="a"/>
    <w:link w:val="a6"/>
    <w:uiPriority w:val="99"/>
    <w:unhideWhenUsed/>
    <w:rsid w:val="005563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33C"/>
  </w:style>
  <w:style w:type="paragraph" w:styleId="a7">
    <w:name w:val="footer"/>
    <w:basedOn w:val="a"/>
    <w:link w:val="a8"/>
    <w:uiPriority w:val="99"/>
    <w:unhideWhenUsed/>
    <w:rsid w:val="005563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33C"/>
  </w:style>
  <w:style w:type="table" w:styleId="a9">
    <w:name w:val="Table Grid"/>
    <w:basedOn w:val="a1"/>
    <w:uiPriority w:val="59"/>
    <w:rsid w:val="00CC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5731"/>
    <w:pPr>
      <w:ind w:left="720"/>
      <w:contextualSpacing/>
    </w:pPr>
  </w:style>
  <w:style w:type="paragraph" w:styleId="ab">
    <w:name w:val="Balloon Text"/>
    <w:basedOn w:val="a"/>
    <w:link w:val="ac"/>
    <w:uiPriority w:val="99"/>
    <w:semiHidden/>
    <w:unhideWhenUsed/>
    <w:rsid w:val="00F631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151"/>
    <w:rPr>
      <w:rFonts w:ascii="Tahoma" w:hAnsi="Tahoma" w:cs="Tahoma"/>
      <w:sz w:val="16"/>
      <w:szCs w:val="16"/>
    </w:rPr>
  </w:style>
  <w:style w:type="paragraph" w:customStyle="1" w:styleId="ad">
    <w:name w:val="Знак Знак"/>
    <w:basedOn w:val="a"/>
    <w:rsid w:val="00F63151"/>
    <w:pPr>
      <w:spacing w:after="0" w:line="240" w:lineRule="auto"/>
    </w:pPr>
    <w:rPr>
      <w:rFonts w:ascii="Verdana" w:eastAsia="Times New Roman" w:hAnsi="Verdana" w:cs="Verdana"/>
      <w:sz w:val="20"/>
      <w:szCs w:val="20"/>
      <w:lang w:val="en-US"/>
    </w:rPr>
  </w:style>
  <w:style w:type="character" w:styleId="ae">
    <w:name w:val="Hyperlink"/>
    <w:basedOn w:val="a0"/>
    <w:uiPriority w:val="99"/>
    <w:unhideWhenUsed/>
    <w:rsid w:val="001863CB"/>
    <w:rPr>
      <w:color w:val="0000FF" w:themeColor="hyperlink"/>
      <w:u w:val="single"/>
    </w:rPr>
  </w:style>
  <w:style w:type="paragraph" w:styleId="af">
    <w:name w:val="annotation text"/>
    <w:basedOn w:val="a"/>
    <w:link w:val="af0"/>
    <w:uiPriority w:val="99"/>
    <w:semiHidden/>
    <w:unhideWhenUsed/>
    <w:rsid w:val="00D270FC"/>
    <w:pPr>
      <w:spacing w:line="240" w:lineRule="auto"/>
    </w:pPr>
    <w:rPr>
      <w:sz w:val="20"/>
      <w:szCs w:val="20"/>
    </w:rPr>
  </w:style>
  <w:style w:type="character" w:customStyle="1" w:styleId="af0">
    <w:name w:val="Текст примечания Знак"/>
    <w:basedOn w:val="a0"/>
    <w:link w:val="af"/>
    <w:uiPriority w:val="99"/>
    <w:semiHidden/>
    <w:rsid w:val="00D270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9530">
      <w:bodyDiv w:val="1"/>
      <w:marLeft w:val="0"/>
      <w:marRight w:val="0"/>
      <w:marTop w:val="0"/>
      <w:marBottom w:val="0"/>
      <w:divBdr>
        <w:top w:val="none" w:sz="0" w:space="0" w:color="auto"/>
        <w:left w:val="none" w:sz="0" w:space="0" w:color="auto"/>
        <w:bottom w:val="none" w:sz="0" w:space="0" w:color="auto"/>
        <w:right w:val="none" w:sz="0" w:space="0" w:color="auto"/>
      </w:divBdr>
    </w:div>
    <w:div w:id="1410272245">
      <w:bodyDiv w:val="1"/>
      <w:marLeft w:val="0"/>
      <w:marRight w:val="0"/>
      <w:marTop w:val="0"/>
      <w:marBottom w:val="0"/>
      <w:divBdr>
        <w:top w:val="none" w:sz="0" w:space="0" w:color="auto"/>
        <w:left w:val="none" w:sz="0" w:space="0" w:color="auto"/>
        <w:bottom w:val="none" w:sz="0" w:space="0" w:color="auto"/>
        <w:right w:val="none" w:sz="0" w:space="0" w:color="auto"/>
      </w:divBdr>
    </w:div>
    <w:div w:id="1594431729">
      <w:bodyDiv w:val="1"/>
      <w:marLeft w:val="0"/>
      <w:marRight w:val="0"/>
      <w:marTop w:val="0"/>
      <w:marBottom w:val="0"/>
      <w:divBdr>
        <w:top w:val="none" w:sz="0" w:space="0" w:color="auto"/>
        <w:left w:val="none" w:sz="0" w:space="0" w:color="auto"/>
        <w:bottom w:val="none" w:sz="0" w:space="0" w:color="auto"/>
        <w:right w:val="none" w:sz="0" w:space="0" w:color="auto"/>
      </w:divBdr>
    </w:div>
    <w:div w:id="1625887015">
      <w:bodyDiv w:val="1"/>
      <w:marLeft w:val="0"/>
      <w:marRight w:val="0"/>
      <w:marTop w:val="0"/>
      <w:marBottom w:val="0"/>
      <w:divBdr>
        <w:top w:val="none" w:sz="0" w:space="0" w:color="auto"/>
        <w:left w:val="none" w:sz="0" w:space="0" w:color="auto"/>
        <w:bottom w:val="none" w:sz="0" w:space="0" w:color="auto"/>
        <w:right w:val="none" w:sz="0" w:space="0" w:color="auto"/>
      </w:divBdr>
    </w:div>
    <w:div w:id="1911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9FDD72-7FEA-461C-A518-C75E2773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 Игорь Владимирович</dc:creator>
  <cp:lastModifiedBy>Александров Игорь Николаевич</cp:lastModifiedBy>
  <cp:revision>2</cp:revision>
  <cp:lastPrinted>2017-07-13T08:05:00Z</cp:lastPrinted>
  <dcterms:created xsi:type="dcterms:W3CDTF">2018-06-26T07:05:00Z</dcterms:created>
  <dcterms:modified xsi:type="dcterms:W3CDTF">2018-06-26T07:05:00Z</dcterms:modified>
</cp:coreProperties>
</file>