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67" w:rsidRPr="00D42E67" w:rsidRDefault="00D42E67" w:rsidP="00D42E67">
      <w:pPr>
        <w:pStyle w:val="a3"/>
        <w:ind w:right="0" w:firstLine="0"/>
        <w:jc w:val="center"/>
        <w:rPr>
          <w:b/>
          <w:bCs/>
          <w:color w:val="000000"/>
          <w:szCs w:val="28"/>
        </w:rPr>
      </w:pPr>
      <w:r w:rsidRPr="00D42E67">
        <w:rPr>
          <w:b/>
          <w:bCs/>
          <w:color w:val="000000"/>
          <w:szCs w:val="28"/>
        </w:rPr>
        <w:t>«Партнерство бизнеса и власти как фактор инвестиционной политики»</w:t>
      </w:r>
    </w:p>
    <w:p w:rsidR="00D42E67" w:rsidRPr="00D42E67" w:rsidRDefault="00D42E67" w:rsidP="00D42E67">
      <w:pPr>
        <w:pStyle w:val="a3"/>
        <w:ind w:right="0" w:firstLine="0"/>
        <w:rPr>
          <w:bCs/>
          <w:i/>
          <w:color w:val="000000"/>
          <w:szCs w:val="28"/>
        </w:rPr>
      </w:pPr>
      <w:r w:rsidRPr="00D42E67">
        <w:rPr>
          <w:b/>
          <w:szCs w:val="28"/>
          <w:highlight w:val="yellow"/>
        </w:rPr>
        <w:t>Слайд-1.</w:t>
      </w:r>
      <w:r w:rsidRPr="00D42E67">
        <w:rPr>
          <w:szCs w:val="28"/>
          <w:highlight w:val="yellow"/>
        </w:rPr>
        <w:t xml:space="preserve"> Заставка</w:t>
      </w:r>
    </w:p>
    <w:p w:rsidR="00D42E67" w:rsidRPr="00D42E67" w:rsidRDefault="00D42E67" w:rsidP="00D42E67">
      <w:pPr>
        <w:pStyle w:val="a3"/>
        <w:ind w:right="0" w:firstLine="0"/>
        <w:rPr>
          <w:szCs w:val="28"/>
        </w:rPr>
      </w:pPr>
      <w:r w:rsidRPr="00D42E67">
        <w:rPr>
          <w:bCs/>
          <w:i/>
          <w:color w:val="000000"/>
          <w:szCs w:val="28"/>
        </w:rPr>
        <w:t xml:space="preserve">Антоневич В.Е. — </w:t>
      </w:r>
      <w:r w:rsidRPr="00D42E67">
        <w:rPr>
          <w:i/>
          <w:szCs w:val="28"/>
        </w:rPr>
        <w:t xml:space="preserve">ответственный секретарь Координационного совета отделений Российского союза промышленников и предпринимателей Приволжского федерального округа. </w:t>
      </w:r>
      <w:r w:rsidRPr="00D42E67">
        <w:rPr>
          <w:szCs w:val="28"/>
        </w:rPr>
        <w:t>25 минут</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 xml:space="preserve">Уважаемые участники и гости Форума, тема сегодняшнего (нашего) круглого стола: «Партнерство бизнеса и власти как фактор инвестиционной политики». Почему формулировка именно такая? В связи с тем, что в течение последних десятилетий практически не создавались новые инфраструктурные объекты, и не производилась модернизация уже существующих, состояние производственных фондов стало наиболее уязвимым местом российской экономики. </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 xml:space="preserve">Модернизация построенной еще при советской власти производственной инфраструктуры и осуществление крупных проектов по строительству автомобильных и железно-дорожных магистралей, портов, аэропортов, энергетических и коммунальных систем в современной России, испытывающей острый недостаток бюджетных средств, с учетом большого количества объектов и колоссального объема необходимых инвестиций, возможны только с привлечением отечественного и международного капитала на базе государственно-частного партнерства. </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Именно это партнерство государства и бизнеса стало движущей силой модернизационных процессов в стране и одним из ключевых факторов, определяющих характер инвестиционной политики в России.</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В настоящее время в России реализуется более 200 проектов ГЧП в следующих сферах: транспорт, теплоснабжение, водоснабжение и водоотведение, здравоохранение и образование, физкультура и спорт, обращение с ТБО, технопарки.</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Координационный совет отделений Российского союза промышленников и предпринимателей в Приволжском федеральном округе в своей работе уделяет особое внимание этому вопросу. Как я уже сказал, в ряде случаев без сотрудничества с государством не то, что развитие, но даже сохранение существующего производственного потенциала невозможно.</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Если посмотреть статистику экономического развития ПФО за первое полугодие 2011-го, то она в целом позитивная. Положительная динамика развития промышленности в регионе сформировалась за счет улучшения внешнеэкономической конъюнктуры на мировых рынках и увеличения физических объемов экспортных поставок. Рынок оживает и с этим связан рост показателей в большинстве сегментов.</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Этому в немалой степени содействует и участие государства в восстановлении экономики. На таких примерах в нашем округе я хотел бы остановиться подробнее</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 xml:space="preserve">Основные меры поддержки и развития отраслей промышленности министерство промышленности и инноваций реализует в соответствии с Программой развития промышленности Нижегородской области на 2009-2013 годы. </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b/>
          <w:sz w:val="28"/>
          <w:szCs w:val="28"/>
          <w:highlight w:val="yellow"/>
        </w:rPr>
        <w:lastRenderedPageBreak/>
        <w:t>Слайд-2.</w:t>
      </w:r>
      <w:r w:rsidRPr="00D42E67">
        <w:rPr>
          <w:rFonts w:ascii="Times New Roman" w:hAnsi="Times New Roman" w:cs="Times New Roman"/>
          <w:sz w:val="28"/>
          <w:szCs w:val="28"/>
          <w:highlight w:val="yellow"/>
        </w:rPr>
        <w:t xml:space="preserve"> Объемы гос. поддержки инновационной деятельности в Нижегородской области.</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В 2010 году на льготы и субсидии в Нижегородской области было выделено 4,9 млрд. руб. из них субсидии из бюджета составили более 1 млрд. руб., льготы – 3,9 млрд. руб.</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Слайд-3.</w:t>
      </w:r>
      <w:r w:rsidRPr="00D42E67">
        <w:rPr>
          <w:rFonts w:ascii="Times New Roman" w:hAnsi="Times New Roman" w:cs="Times New Roman"/>
          <w:sz w:val="28"/>
          <w:szCs w:val="28"/>
          <w:highlight w:val="yellow"/>
        </w:rPr>
        <w:t xml:space="preserve"> </w:t>
      </w:r>
      <w:r w:rsidRPr="00D42E67">
        <w:rPr>
          <w:rFonts w:ascii="Times New Roman" w:hAnsi="Times New Roman" w:cs="Times New Roman"/>
          <w:bCs/>
          <w:sz w:val="28"/>
          <w:szCs w:val="28"/>
          <w:highlight w:val="yellow"/>
        </w:rPr>
        <w:t>Субсидии субъектам инновационной деятельности за счет средств областного бюджета</w:t>
      </w:r>
      <w:r w:rsidRPr="00D42E67">
        <w:rPr>
          <w:rFonts w:ascii="Times New Roman" w:hAnsi="Times New Roman" w:cs="Times New Roman"/>
          <w:sz w:val="28"/>
          <w:szCs w:val="28"/>
          <w:highlight w:val="yellow"/>
        </w:rPr>
        <w:t>.</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В 2011 году на субсидирование затрат за счет средств областного бюджета субъектам инновационной деятельности, реализующим приоритетные инновационные проекты в Программе развития промышленности предусмотрено 20,2 млн. рублей. Государственную поддержку получают 5 предприятий:</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Слайд-4.</w:t>
      </w:r>
      <w:r w:rsidRPr="00D42E67">
        <w:rPr>
          <w:rFonts w:ascii="Times New Roman" w:hAnsi="Times New Roman" w:cs="Times New Roman"/>
          <w:sz w:val="28"/>
          <w:szCs w:val="28"/>
          <w:highlight w:val="yellow"/>
        </w:rPr>
        <w:t xml:space="preserve"> Бюджетный эффект по проекту ЗАО «Корунд – Циан».</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В текущем году заключено соглашение о предоставлении государственной поддержки между Правительством Нижегородской области и ЗАО «Корунд – Циан» в рамках реализации инновационного проекта по запуску нового производства цианистых солей мощностью 40 тыс.т/год. Проект предусматривает организацию нового современного высокоэффективного производства цианистых солей с использованием передовой технологии. Объем инвестиций по проекту составит 3,9 млрд. руб. Объем инвестиций по этому проекту сопоставим с объемом инвестиций по всем проектам, ранее признанным приоритетными инновационными проектами Нижегородской области! За период действия соглашения предприятие получит налоговые льготы по налогу на имущество и налогу на прибыль, зачисляемому в областной бюджет в сумме 314 млн. рублей. В консолидированный бюджет области поступит 686 млн. рублей налоговых сборов, таким образом, бюджетный эффект по проекту составит 372 млн. рублей.</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В результате реализации этого проекта предприятие представит на  рынок импортозамещающую продукцию, полностью удовлетворит спрос потребителей цианидов в России и осуществит поставки на экспорт в государства СНГ (Казахстан, Узбекистан).</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Слайд-5.</w:t>
      </w:r>
      <w:r w:rsidRPr="00D42E67">
        <w:rPr>
          <w:rFonts w:ascii="Times New Roman" w:hAnsi="Times New Roman" w:cs="Times New Roman"/>
          <w:sz w:val="28"/>
          <w:szCs w:val="28"/>
          <w:highlight w:val="yellow"/>
        </w:rPr>
        <w:t xml:space="preserve"> </w:t>
      </w:r>
      <w:r w:rsidRPr="00D42E67">
        <w:rPr>
          <w:rFonts w:ascii="Times New Roman" w:hAnsi="Times New Roman" w:cs="Times New Roman"/>
          <w:bCs/>
          <w:sz w:val="28"/>
          <w:szCs w:val="28"/>
          <w:highlight w:val="yellow"/>
        </w:rPr>
        <w:t>Субсидии на техническое перевооружение основных средств</w:t>
      </w:r>
      <w:r w:rsidRPr="00D42E67">
        <w:rPr>
          <w:rFonts w:ascii="Times New Roman" w:hAnsi="Times New Roman" w:cs="Times New Roman"/>
          <w:sz w:val="28"/>
          <w:szCs w:val="28"/>
          <w:highlight w:val="yellow"/>
        </w:rPr>
        <w:t>.</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 xml:space="preserve">В рамках Программы осуществляется предоставление финансовой господдержки промышленным предприятиям и научным организациям, осуществляющим техническое перевооружение основных средств, в виде возмещения части процентной ставки по кредитам  коммерческих банков. </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 xml:space="preserve">По этому направлению  в 2011 году государственную поддержку получают 4 предприятия: </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В 2011 году на компенсацию части процентной ставки предприятиям, осуществляющим техническое перевооружение основных средств, направлено 18 млн. рублей. Учитывая потребности предприятий, руководством области принято решение о выделении в 2011 году дополнительно ещё 10 млн.рублей на данный вид господдержки.</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lastRenderedPageBreak/>
        <w:t xml:space="preserve">  Программой также предусмотрены субсидии предприятиям легкой промышленности на возмещение части процентной ставки по кредитам  коммерческих банков. На это  выделено в 2011 году 17 млн. рублей, что   позволило привлечь в отрасль кредитных ресурсов на общую сумму около 200 млн.рублей.</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Слайд-6.</w:t>
      </w:r>
      <w:r w:rsidRPr="00D42E67">
        <w:rPr>
          <w:rFonts w:ascii="Times New Roman" w:hAnsi="Times New Roman" w:cs="Times New Roman"/>
          <w:sz w:val="28"/>
          <w:szCs w:val="28"/>
          <w:highlight w:val="yellow"/>
        </w:rPr>
        <w:t xml:space="preserve"> Финансирование мероприятий по развитию экспорта (2011г.).</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Еще один пункт областной программы – компенсация части затрат предприятиям, производящим, продукцию и услуги на экспорт, в 2011 году объём такой помощи составляет 24,3 млн.рублей. Дополнительные средства будут привлечены и из федерального бюджета. Таким образом общий объем финансирования мероприятий по развитию экспорта в 2011году составит 47 млн.рублей.</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Слайд-7.</w:t>
      </w:r>
      <w:r w:rsidRPr="00D42E67">
        <w:rPr>
          <w:rFonts w:ascii="Times New Roman" w:hAnsi="Times New Roman" w:cs="Times New Roman"/>
          <w:sz w:val="28"/>
          <w:szCs w:val="28"/>
          <w:highlight w:val="yellow"/>
        </w:rPr>
        <w:t xml:space="preserve"> Финансовая поддержка промышленности.</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Совместная работа Правительства области, НАПП и Законодательного Собрания области позволили в течение последних пяти лет с 2005 по 2010г. оказать большую финансовую поддержку промышленности. Она увеличилась с 509 млн. руб. в 2005 году до 4,86 млрд. руб. в 2010 году.</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Слайд-8.</w:t>
      </w:r>
      <w:r w:rsidRPr="00D42E67">
        <w:rPr>
          <w:rFonts w:ascii="Times New Roman" w:hAnsi="Times New Roman" w:cs="Times New Roman"/>
          <w:sz w:val="28"/>
          <w:szCs w:val="28"/>
          <w:highlight w:val="yellow"/>
        </w:rPr>
        <w:t xml:space="preserve"> Изменения в законодательстве</w:t>
      </w:r>
      <w:r w:rsidRPr="00D42E67">
        <w:rPr>
          <w:rFonts w:ascii="Times New Roman" w:hAnsi="Times New Roman" w:cs="Times New Roman"/>
          <w:sz w:val="28"/>
          <w:szCs w:val="28"/>
        </w:rPr>
        <w:t xml:space="preserve"> Нижегородской области.</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Но применяются не только существующие механизмы поддержки. По инициативе Нижегородской Ассоциации промышленников и предпринимателей при поддержке областного Правительства Законодательным Собранием Нижегородской области в июле  текущего года приняты  законы , направленные на стимулирование модернизации основных фондов предприятий.</w:t>
      </w:r>
    </w:p>
    <w:p w:rsidR="00D42E67" w:rsidRPr="00D42E67" w:rsidRDefault="00D42E67" w:rsidP="00D42E67">
      <w:pPr>
        <w:spacing w:after="0" w:line="240" w:lineRule="auto"/>
        <w:ind w:firstLine="720"/>
        <w:jc w:val="both"/>
        <w:rPr>
          <w:rFonts w:ascii="Times New Roman" w:hAnsi="Times New Roman" w:cs="Times New Roman"/>
          <w:i/>
          <w:sz w:val="28"/>
          <w:szCs w:val="28"/>
        </w:rPr>
      </w:pPr>
      <w:r w:rsidRPr="00D42E67">
        <w:rPr>
          <w:rFonts w:ascii="Times New Roman" w:hAnsi="Times New Roman" w:cs="Times New Roman"/>
          <w:i/>
          <w:sz w:val="28"/>
          <w:szCs w:val="28"/>
        </w:rPr>
        <w:t>Во-первых, внесены изменения в закон Нижегородской области «О налоге на имущество организаций», что  позволит организациям обрабатывающих производств, научно-исследовательским институтам и конструкторским бюро при приобретении и вводе в эксплуатацию основных средств  в течение первого года с момента ввода в эксплуатацию не платить налог на имущество, в течение второго года налоговая ставка устанавливается — 0,55 процента, в течение третьего года — 1,1 процента.</w:t>
      </w:r>
    </w:p>
    <w:p w:rsidR="00D42E67" w:rsidRPr="00D42E67" w:rsidRDefault="00D42E67" w:rsidP="00D42E67">
      <w:pPr>
        <w:spacing w:after="0" w:line="240" w:lineRule="auto"/>
        <w:ind w:firstLine="720"/>
        <w:jc w:val="both"/>
        <w:rPr>
          <w:rFonts w:ascii="Times New Roman" w:hAnsi="Times New Roman" w:cs="Times New Roman"/>
          <w:i/>
          <w:sz w:val="28"/>
          <w:szCs w:val="28"/>
        </w:rPr>
      </w:pPr>
      <w:r w:rsidRPr="00D42E67">
        <w:rPr>
          <w:rFonts w:ascii="Times New Roman" w:hAnsi="Times New Roman" w:cs="Times New Roman"/>
          <w:i/>
          <w:sz w:val="28"/>
          <w:szCs w:val="28"/>
        </w:rPr>
        <w:t>Во-вторых, внесены изменения в закон Нижегородской области «О предоставлении льгот по налогу на прибыль организаций», что  позволит  снизить ставку налога на прибыль организаций , установленную для зачисления в бюджет Нижегородской области, в зависимости от объема  капитальных вложений в основные фонды, расположенные на территории Нижегородской области в соответствии с шкалой: при объеме капвложений начиная  с 100 млн. руб., снижение ставки налога от 0,5  до 4,5  процентов.</w:t>
      </w:r>
    </w:p>
    <w:p w:rsidR="00D42E67" w:rsidRPr="00D42E67" w:rsidRDefault="00D42E67" w:rsidP="00D42E67">
      <w:pPr>
        <w:spacing w:after="0" w:line="240" w:lineRule="auto"/>
        <w:ind w:firstLine="720"/>
        <w:jc w:val="both"/>
        <w:rPr>
          <w:rFonts w:ascii="Times New Roman" w:hAnsi="Times New Roman" w:cs="Times New Roman"/>
          <w:i/>
          <w:sz w:val="28"/>
          <w:szCs w:val="28"/>
        </w:rPr>
      </w:pPr>
      <w:r w:rsidRPr="00D42E67">
        <w:rPr>
          <w:rFonts w:ascii="Times New Roman" w:hAnsi="Times New Roman" w:cs="Times New Roman"/>
          <w:i/>
          <w:sz w:val="28"/>
          <w:szCs w:val="28"/>
        </w:rPr>
        <w:t>В-третьих, принят закон о снижении налоговой ставки налога на прибыль организаций в 2011 году для организаций обрабатывающих производств и транспорта.</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lastRenderedPageBreak/>
        <w:t>Этот закон позволит снизить ставку налога на прибыль, установленную для зачисления в бюджет Нижегородской области на 4,5 процента при определенных условиях и при заключении с Правительством Нижегородской области соглашения о взаимном сотрудничестве.</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Слайд-9.</w:t>
      </w:r>
      <w:r w:rsidRPr="00D42E67">
        <w:rPr>
          <w:rFonts w:ascii="Times New Roman" w:hAnsi="Times New Roman" w:cs="Times New Roman"/>
          <w:sz w:val="28"/>
          <w:szCs w:val="28"/>
          <w:highlight w:val="yellow"/>
        </w:rPr>
        <w:t xml:space="preserve"> Финансирование НИОКР.</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 xml:space="preserve">В соответствии с Программой </w:t>
      </w:r>
      <w:r w:rsidRPr="00D42E67">
        <w:rPr>
          <w:rFonts w:ascii="Times New Roman" w:hAnsi="Times New Roman" w:cs="Times New Roman"/>
          <w:i/>
          <w:sz w:val="28"/>
          <w:szCs w:val="28"/>
        </w:rPr>
        <w:t>развития промышленности Нижегородской области</w:t>
      </w:r>
      <w:r w:rsidRPr="00D42E67">
        <w:rPr>
          <w:rFonts w:ascii="Times New Roman" w:hAnsi="Times New Roman" w:cs="Times New Roman"/>
          <w:sz w:val="28"/>
          <w:szCs w:val="28"/>
        </w:rPr>
        <w:t xml:space="preserve"> в 2011 году продолжается реализация мероприятий по  поддержке научно-исследовательских и опытно-конструкторских разработок, в том числе:</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w:t>
      </w:r>
      <w:r w:rsidRPr="00D42E67">
        <w:rPr>
          <w:rFonts w:ascii="Times New Roman" w:hAnsi="Times New Roman" w:cs="Times New Roman"/>
          <w:sz w:val="28"/>
          <w:szCs w:val="28"/>
        </w:rPr>
        <w:tab/>
        <w:t>предоставление грантов совместно с Российским фондом фундаментальных исследований. В текущем году из бюджета области на это будет  направлено 30 млн. рублей. (</w:t>
      </w:r>
      <w:r w:rsidRPr="00D42E67">
        <w:rPr>
          <w:rFonts w:ascii="Times New Roman" w:hAnsi="Times New Roman" w:cs="Times New Roman"/>
          <w:i/>
          <w:sz w:val="28"/>
          <w:szCs w:val="28"/>
        </w:rPr>
        <w:t>111 проектов победителей в конкурсе 2011 года)</w:t>
      </w:r>
      <w:r w:rsidRPr="00D42E67">
        <w:rPr>
          <w:rFonts w:ascii="Times New Roman" w:hAnsi="Times New Roman" w:cs="Times New Roman"/>
          <w:sz w:val="28"/>
          <w:szCs w:val="28"/>
        </w:rPr>
        <w:t xml:space="preserve">; </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w:t>
      </w:r>
      <w:r w:rsidRPr="00D42E67">
        <w:rPr>
          <w:rFonts w:ascii="Times New Roman" w:hAnsi="Times New Roman" w:cs="Times New Roman"/>
          <w:sz w:val="28"/>
          <w:szCs w:val="28"/>
        </w:rPr>
        <w:tab/>
        <w:t xml:space="preserve">предоставление совместно с фондом содействия развитию малых форм предприятий в научно-технической сфере (Фондом Бортника) субсидий на разработку и освоение новых видов наукоемкой продукции и технологий. Финансирование из средств областного бюджета будет осуществлено в размере 12 млн. рублей. </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w:t>
      </w:r>
      <w:r w:rsidRPr="00D42E67">
        <w:rPr>
          <w:rFonts w:ascii="Times New Roman" w:hAnsi="Times New Roman" w:cs="Times New Roman"/>
          <w:sz w:val="28"/>
          <w:szCs w:val="28"/>
        </w:rPr>
        <w:tab/>
        <w:t>В соответствии с Законом «О грантах Нижегородской области в сфере науки и техники» победители конкурса получат гранты на общую сумму более 6 млн. рублей.</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В общей сложности 205 проектов получат поддержку  на общую сумму 110,5 млн. рублей, в том числе 48,5 млн. рублей из областного бюджета.</w:t>
      </w:r>
    </w:p>
    <w:p w:rsidR="00D42E67" w:rsidRPr="00D42E67" w:rsidRDefault="00D42E67" w:rsidP="00D42E67">
      <w:pPr>
        <w:spacing w:after="0" w:line="240" w:lineRule="auto"/>
        <w:ind w:firstLine="720"/>
        <w:jc w:val="both"/>
        <w:rPr>
          <w:rFonts w:ascii="Times New Roman" w:hAnsi="Times New Roman" w:cs="Times New Roman"/>
          <w:sz w:val="28"/>
          <w:szCs w:val="28"/>
        </w:rPr>
      </w:pP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 xml:space="preserve">К сожалению, не все случаи выделения бюджетных средств для нужд бизнеса являются примерами ГЧП. И вы это знаете. Знаете Вы также и то, что не всегда эти средства работают эффективно. </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Так, особое беспокойство вызывает ситуация на предприятиях   текстильной промышленности, где темпы роста объемов производства не достигли уровня 2010 года. ИПП таких предприятий составляет от 43% до 95% (от показателей 2010)г. Отмечено снижение объемов также на предприятиях, занимающихся добычей и переработкой полезных ископаемых.</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 xml:space="preserve">  В ряде отраслей производительность труда остается низкой. В оборонно-промышленном комплексе, в швейной, текстильной, кожевенной и обувной промышленности. Кроме низкой производительности труда на предприятиях ОПК есть серьезная проблема зависимости от госзаказа, дефицита квалификационных кадров.</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Почему так происходит? В чем причины?</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Давайте для начала обратимся к опыту ведущих мировых экономик и попытаемся понять, в чем истинная суть ГЧП и каковы критерии его эффективности.</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Слайд-10.</w:t>
      </w:r>
      <w:r w:rsidRPr="00D42E67">
        <w:rPr>
          <w:rFonts w:ascii="Times New Roman" w:hAnsi="Times New Roman" w:cs="Times New Roman"/>
          <w:sz w:val="28"/>
          <w:szCs w:val="28"/>
          <w:highlight w:val="yellow"/>
        </w:rPr>
        <w:t xml:space="preserve"> Функции государства в экономике.</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lastRenderedPageBreak/>
        <w:t xml:space="preserve">В современных социально-экономических условиях государство должно выполнять в экономике ряд функций, связанных с производством определенных видов продукции. К ним можно отнести: </w:t>
      </w:r>
    </w:p>
    <w:p w:rsidR="00D42E67" w:rsidRPr="00D42E67" w:rsidRDefault="00D42E67" w:rsidP="00D42E67">
      <w:pPr>
        <w:numPr>
          <w:ilvl w:val="0"/>
          <w:numId w:val="1"/>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исключительную (приоритетную), связанную с производством некоторых товаров, например, ядерного оружия, и т.п.;</w:t>
      </w:r>
    </w:p>
    <w:p w:rsidR="00D42E67" w:rsidRPr="00D42E67" w:rsidRDefault="00D42E67" w:rsidP="00D42E67">
      <w:pPr>
        <w:numPr>
          <w:ilvl w:val="0"/>
          <w:numId w:val="1"/>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стратегическую, обусловленную конкуренцией государств, имеющих собственные национальные интересы, целям НТП;</w:t>
      </w:r>
    </w:p>
    <w:p w:rsidR="00D42E67" w:rsidRPr="00D42E67" w:rsidRDefault="00D42E67" w:rsidP="00D42E67">
      <w:pPr>
        <w:numPr>
          <w:ilvl w:val="0"/>
          <w:numId w:val="1"/>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региональную, связанную с необходимостью оптимального размещения производительных сил по регионам, поддержки и развития депрессивных регионов и т.п.;</w:t>
      </w:r>
    </w:p>
    <w:p w:rsidR="00D42E67" w:rsidRPr="00D42E67" w:rsidRDefault="00D42E67" w:rsidP="00D42E67">
      <w:pPr>
        <w:numPr>
          <w:ilvl w:val="0"/>
          <w:numId w:val="1"/>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компенсаторную, устраняющую сбои в результатах деятельности частных структур и исправляющую деформации инвестиционного климата;</w:t>
      </w:r>
    </w:p>
    <w:p w:rsidR="00D42E67" w:rsidRPr="00D42E67" w:rsidRDefault="00D42E67" w:rsidP="00D42E67">
      <w:pPr>
        <w:numPr>
          <w:ilvl w:val="0"/>
          <w:numId w:val="1"/>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фискальную, направленную на увеличение доходной части государственного бюджета;</w:t>
      </w:r>
    </w:p>
    <w:p w:rsidR="00D42E67" w:rsidRPr="00D42E67" w:rsidRDefault="00D42E67" w:rsidP="00D42E67">
      <w:pPr>
        <w:numPr>
          <w:ilvl w:val="0"/>
          <w:numId w:val="1"/>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стимулирующую функцию.</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В мировой практике в последние годы практически повсеместно наблюдается ряд проблем, вызванных ростом стоимости и сроков реализации бюджетных проектов. В этой связи, использование смешанных вариантов реализации и управления проектами является одним из возможных вариантов снижения государственных расходов и сокращения сроков реализации подобных проектов. И проблема выбора таких форм государственного контроля, которые бы не тормозили сами проекты, но при этом давали государству эффективные инструменты вмешательства в ход проекта при нарушении условий их реализации, сегодня успешно решается во многих странах.</w:t>
      </w:r>
    </w:p>
    <w:p w:rsidR="00D42E67" w:rsidRPr="00D42E67" w:rsidRDefault="00D42E67" w:rsidP="00D42E67">
      <w:pPr>
        <w:spacing w:after="0" w:line="240" w:lineRule="auto"/>
        <w:ind w:firstLine="720"/>
        <w:jc w:val="both"/>
        <w:rPr>
          <w:rFonts w:ascii="Times New Roman" w:hAnsi="Times New Roman" w:cs="Times New Roman"/>
          <w:sz w:val="28"/>
          <w:szCs w:val="28"/>
        </w:rPr>
      </w:pPr>
      <w:r w:rsidRPr="00D42E67">
        <w:rPr>
          <w:rFonts w:ascii="Times New Roman" w:hAnsi="Times New Roman" w:cs="Times New Roman"/>
          <w:sz w:val="28"/>
          <w:szCs w:val="28"/>
        </w:rPr>
        <w:t xml:space="preserve">В последние десятилетия устойчивая тенденция роста числа проектов, реализуемых на основе государственно-частного партнерства (ГЧП) наблюдается во всем мире. </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В последнее время доля государства в промышленности России росла, это происходило и за счет укрупнения существующих предприятий, и за счет дробления крупных государственных производственных комплексов. Однако, несмотря на объявленные планы масштабной приватизации госимущества, осуществление программы перехода прав собственности к частному сектору в некоторых отраслях невозможно по соображениям безопасности. В этих отраслях государство вынуждено искать замену приватизационным процедурам. И в первом и во втором случае одним из эффективных вариантов взаимодействия государства и частного сектора для осуществления контроля использования государственных ресурсов в частных инвестиционных проектах  как раз является государственно-частное партнерство.</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Слайд-11.</w:t>
      </w:r>
      <w:r w:rsidRPr="00D42E67">
        <w:rPr>
          <w:rFonts w:ascii="Times New Roman" w:hAnsi="Times New Roman" w:cs="Times New Roman"/>
          <w:sz w:val="28"/>
          <w:szCs w:val="28"/>
          <w:highlight w:val="yellow"/>
        </w:rPr>
        <w:t xml:space="preserve"> Определение и Классификация видов ГЧП.</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 xml:space="preserve">Наиболее принятым </w:t>
      </w:r>
      <w:r w:rsidRPr="00D42E67">
        <w:rPr>
          <w:rFonts w:ascii="Times New Roman" w:hAnsi="Times New Roman" w:cs="Times New Roman"/>
          <w:i/>
          <w:sz w:val="28"/>
          <w:szCs w:val="28"/>
        </w:rPr>
        <w:t>(в научной литературе)</w:t>
      </w:r>
      <w:r w:rsidRPr="00D42E67">
        <w:rPr>
          <w:rFonts w:ascii="Times New Roman" w:hAnsi="Times New Roman" w:cs="Times New Roman"/>
          <w:sz w:val="28"/>
          <w:szCs w:val="28"/>
        </w:rPr>
        <w:t xml:space="preserve"> сегодня является следующее определение государственно-частного партнерства: (ГЧП) – это институциональный и организационный альянс между государством и </w:t>
      </w:r>
      <w:r w:rsidRPr="00D42E67">
        <w:rPr>
          <w:rFonts w:ascii="Times New Roman" w:hAnsi="Times New Roman" w:cs="Times New Roman"/>
          <w:sz w:val="28"/>
          <w:szCs w:val="28"/>
        </w:rPr>
        <w:lastRenderedPageBreak/>
        <w:t>бизнесом в целях реализации общественно значимых проектов и программ в широком спектре отраслей, от промышленности и НИОКР до сферы услуг. На сегодня принята следующая классификация видов ГЧП:</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1. Сервисные контракты:</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2. Управляющие контракты:</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3. Аренда и временная передача прав:</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4. Концессионное соглашение:</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5. Акционирование, долевое участие частного капитала в государственных предприятиях (совместные предприятия).</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которые варьируются в зависимости от степени вовлеченности бизнеса на разных этапах создания и эксплуатации объектов. Наименьшее участие предполагает только эксплуатацию объектов под управлением частной компании за выделяемые государством деньги, тогда как максимальное участие заключается в финансировании, строительстве, эксплуатации объекта с последующей продажей государству производимых услуг, собственником объекта при этом остается бизнес.</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Слайд-12.</w:t>
      </w:r>
      <w:r w:rsidRPr="00D42E67">
        <w:rPr>
          <w:rFonts w:ascii="Times New Roman" w:hAnsi="Times New Roman" w:cs="Times New Roman"/>
          <w:sz w:val="28"/>
          <w:szCs w:val="28"/>
          <w:highlight w:val="yellow"/>
        </w:rPr>
        <w:t xml:space="preserve"> Динамика развития форм ГЧП в России</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 xml:space="preserve">В настоящее время в России используются все указанные формы, однако распределение ресурсов и количественные показатели форм имеют достаточно сильную дифференциацию. </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 xml:space="preserve">На основании этих данных можно сделать вывод о том, что в настоящее время наиболее высокая степень участия государства в экономике наблюдается через прямое участие в капитале компаний, при этом очень высока динамика роста концессионных соглашений. На сегодня это одна из основных форм реализации ГЧП.  </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ГЧП позволяет избежать с одной стороны недостатков прямого регулирования государства, а с другой – "провалов рынка". Основной аргумент в поддержку ГЧП состоит в том, что и общественный (государственный), и частный секторы обладают своими собственными уникальными характеристиками и преимуществами, при объединении которых создается возможность более эффективно действовать и достигать лучших результатов именно в тех сферах, где особенно заметны "провалы рынка" или неэффективность государственного управления – как правило, это социальная сфера, проблемы экологии, создание инфраструктуры.</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Слайд-13.</w:t>
      </w:r>
      <w:r w:rsidRPr="00D42E67">
        <w:rPr>
          <w:rFonts w:ascii="Times New Roman" w:hAnsi="Times New Roman" w:cs="Times New Roman"/>
          <w:sz w:val="28"/>
          <w:szCs w:val="28"/>
          <w:highlight w:val="yellow"/>
        </w:rPr>
        <w:t xml:space="preserve"> Отрасли</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Международная практика образования подобных партнерств показывает, что они могут реализовываться в самых разнообразных отраслях:</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Промышленность – разработка и производство крупных энергетических установок, продукции военного назначения, строительство заводов в новых отраслях промышленности.</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Транспорт – строительство, эксплуатация, обслуживание, внедрение систем управления движением и множество других проектов в различных транспортных отраслях, включая городской транспорт.</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lastRenderedPageBreak/>
        <w:t>Жилищно-коммунальное хозяйство – обслуживание населения; эксплуатация коммунальных сетей – водопровод, канализация; уборка улиц, вывоз и утилизация мусора.</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Экология – создание, обслуживание и развитие городских и загородных парков, с правом эксплуатации природных ресурсов и получения доходов от организации экологического туризма.</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Недвижимость – строительство и эксплуатация общественных зданий и муниципального жилья в обмен на право застройки и участие в коммерческих проектах.</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Общественный порядок и безопасность – обеспечение порядка на транспорте и в общественных местах, обслуживаемых частными компаниями; организация и обслуживание парковок.</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Телекоммуникации – создание телекоммуникационной инфраструктуры и предоставление услуг потребителям.</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Финансовый сектор – привлечение частных страховых и управляющих компаний в сферу обязательного социального страхования и государственного пенсионного обеспечения.</w:t>
      </w:r>
    </w:p>
    <w:p w:rsidR="00D42E67" w:rsidRPr="00D42E67" w:rsidRDefault="00D42E67" w:rsidP="00D42E67">
      <w:pPr>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Образование – строительство и оборудование школ и иных учреждений частными компаниями, получающими право застройки и развития прилегающей территории.</w:t>
      </w:r>
    </w:p>
    <w:p w:rsidR="00D42E67" w:rsidRPr="00D42E67" w:rsidRDefault="00D42E67" w:rsidP="00D42E67">
      <w:pPr>
        <w:autoSpaceDE w:val="0"/>
        <w:autoSpaceDN w:val="0"/>
        <w:adjustRightInd w:val="0"/>
        <w:spacing w:after="0" w:line="240" w:lineRule="auto"/>
        <w:jc w:val="both"/>
        <w:rPr>
          <w:rFonts w:ascii="Times New Roman" w:hAnsi="Times New Roman" w:cs="Times New Roman"/>
          <w:sz w:val="28"/>
          <w:szCs w:val="28"/>
          <w:highlight w:val="yellow"/>
        </w:rPr>
      </w:pPr>
      <w:r w:rsidRPr="00D42E67">
        <w:rPr>
          <w:rFonts w:ascii="Times New Roman" w:hAnsi="Times New Roman" w:cs="Times New Roman"/>
          <w:b/>
          <w:sz w:val="28"/>
          <w:szCs w:val="28"/>
          <w:highlight w:val="yellow"/>
        </w:rPr>
        <w:t>Слайд-14.</w:t>
      </w:r>
      <w:r w:rsidRPr="00D42E67">
        <w:rPr>
          <w:rFonts w:ascii="Times New Roman" w:hAnsi="Times New Roman" w:cs="Times New Roman"/>
          <w:sz w:val="28"/>
          <w:szCs w:val="28"/>
          <w:highlight w:val="yellow"/>
        </w:rPr>
        <w:t xml:space="preserve"> Сферы ГЧП</w:t>
      </w:r>
    </w:p>
    <w:p w:rsidR="00D42E67" w:rsidRPr="00D42E67" w:rsidRDefault="00D42E67" w:rsidP="00D42E67">
      <w:pPr>
        <w:spacing w:after="0" w:line="240" w:lineRule="auto"/>
        <w:ind w:firstLine="680"/>
        <w:jc w:val="both"/>
        <w:rPr>
          <w:rFonts w:ascii="Times New Roman" w:hAnsi="Times New Roman" w:cs="Times New Roman"/>
          <w:sz w:val="28"/>
          <w:szCs w:val="28"/>
        </w:rPr>
      </w:pPr>
      <w:r w:rsidRPr="00D42E67">
        <w:rPr>
          <w:rFonts w:ascii="Times New Roman" w:hAnsi="Times New Roman" w:cs="Times New Roman"/>
          <w:sz w:val="28"/>
          <w:szCs w:val="28"/>
        </w:rPr>
        <w:t>К основным сферам государственно-частного партнерства относятся те сферы, где осуществляется формирование общественных благ. Такого рода сферы, производства, как показывает мировой опыт, включают в себя:</w:t>
      </w:r>
    </w:p>
    <w:p w:rsidR="00D42E67" w:rsidRPr="00D42E67" w:rsidRDefault="00D42E67" w:rsidP="00D42E67">
      <w:pPr>
        <w:numPr>
          <w:ilvl w:val="0"/>
          <w:numId w:val="2"/>
        </w:numPr>
        <w:autoSpaceDE w:val="0"/>
        <w:autoSpaceDN w:val="0"/>
        <w:adjustRightInd w:val="0"/>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во-первых, предприятия ОПК (разумеется, в ряде развитых стран с рыночной экономикой достаточно эффективным производителем вооружения является частный сектор, работающий по государственным заказам, финансируемым из государственного бюджета и, тем не менее, все же типичным для рыночной экономики является государственное предпринимательство в отраслях ОПК, куда частные структуры не допускаются по стратегическим соображениям);</w:t>
      </w:r>
    </w:p>
    <w:p w:rsidR="00D42E67" w:rsidRPr="00D42E67" w:rsidRDefault="00D42E67" w:rsidP="00D42E67">
      <w:pPr>
        <w:numPr>
          <w:ilvl w:val="0"/>
          <w:numId w:val="2"/>
        </w:numPr>
        <w:autoSpaceDE w:val="0"/>
        <w:autoSpaceDN w:val="0"/>
        <w:adjustRightInd w:val="0"/>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во-вторых, предприятия, осуществляющие изготовление продукции, представляющей большую экономическую, социальную опасность, несущую угрозу здоровью и безопасности людей, а также полностью либо частично изъятую из гражданского оборота;</w:t>
      </w:r>
    </w:p>
    <w:p w:rsidR="00D42E67" w:rsidRPr="00D42E67" w:rsidRDefault="00D42E67" w:rsidP="00D42E67">
      <w:pPr>
        <w:numPr>
          <w:ilvl w:val="0"/>
          <w:numId w:val="2"/>
        </w:numPr>
        <w:autoSpaceDE w:val="0"/>
        <w:autoSpaceDN w:val="0"/>
        <w:adjustRightInd w:val="0"/>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в-третьих, научно-производственные, опытные, проектные, конструкторско-технологические и иные структуры, связанные с военными, иными специальными НИОКР, характеризующимися известной неопределенностью, высокими инвестиционными вложениями и рисками, стратегическими вызовами;</w:t>
      </w:r>
    </w:p>
    <w:p w:rsidR="00D42E67" w:rsidRPr="00D42E67" w:rsidRDefault="00D42E67" w:rsidP="00D42E67">
      <w:pPr>
        <w:numPr>
          <w:ilvl w:val="0"/>
          <w:numId w:val="2"/>
        </w:numPr>
        <w:autoSpaceDE w:val="0"/>
        <w:autoSpaceDN w:val="0"/>
        <w:adjustRightInd w:val="0"/>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 xml:space="preserve">в-четвертых, специальные, например, военно-строительные предприятия, осуществляющие строительство правительственных объектов, предприятий по уничтожению и утилизации химического, </w:t>
      </w:r>
      <w:r w:rsidRPr="00D42E67">
        <w:rPr>
          <w:rFonts w:ascii="Times New Roman" w:hAnsi="Times New Roman" w:cs="Times New Roman"/>
          <w:i/>
          <w:sz w:val="28"/>
          <w:szCs w:val="28"/>
        </w:rPr>
        <w:lastRenderedPageBreak/>
        <w:t>бактериологического, ядерного оружия, ведущих строительство мостов, железных дорог и т.п.;</w:t>
      </w:r>
    </w:p>
    <w:p w:rsidR="00D42E67" w:rsidRPr="00D42E67" w:rsidRDefault="00D42E67" w:rsidP="00D42E67">
      <w:pPr>
        <w:numPr>
          <w:ilvl w:val="0"/>
          <w:numId w:val="2"/>
        </w:numPr>
        <w:autoSpaceDE w:val="0"/>
        <w:autoSpaceDN w:val="0"/>
        <w:adjustRightInd w:val="0"/>
        <w:spacing w:after="0" w:line="240" w:lineRule="auto"/>
        <w:jc w:val="both"/>
        <w:rPr>
          <w:rFonts w:ascii="Times New Roman" w:hAnsi="Times New Roman" w:cs="Times New Roman"/>
          <w:i/>
          <w:sz w:val="28"/>
          <w:szCs w:val="28"/>
        </w:rPr>
      </w:pPr>
      <w:r w:rsidRPr="00D42E67">
        <w:rPr>
          <w:rFonts w:ascii="Times New Roman" w:hAnsi="Times New Roman" w:cs="Times New Roman"/>
          <w:i/>
          <w:sz w:val="28"/>
          <w:szCs w:val="28"/>
        </w:rPr>
        <w:t>в-пятых, экспортоориентированные отрасли и производства, занятые производством, поставкой, монтажом, пуском, наладкой, консалтингом, сервисным обслуживанием боевой техники, вооружения, оборудования (например, ракетных систем С-400, военных самолетов и вертолетов).</w:t>
      </w:r>
    </w:p>
    <w:p w:rsidR="00D42E67" w:rsidRPr="00D42E67" w:rsidRDefault="00D42E67" w:rsidP="00D42E67">
      <w:pPr>
        <w:spacing w:after="0" w:line="240" w:lineRule="auto"/>
        <w:ind w:firstLine="680"/>
        <w:jc w:val="both"/>
        <w:rPr>
          <w:rFonts w:ascii="Times New Roman" w:hAnsi="Times New Roman" w:cs="Times New Roman"/>
          <w:sz w:val="28"/>
          <w:szCs w:val="28"/>
        </w:rPr>
      </w:pPr>
      <w:r w:rsidRPr="00D42E67">
        <w:rPr>
          <w:rFonts w:ascii="Times New Roman" w:hAnsi="Times New Roman" w:cs="Times New Roman"/>
          <w:sz w:val="28"/>
          <w:szCs w:val="28"/>
        </w:rPr>
        <w:t>Таким образом, государственно-частное партнерство представляет собой одну из наиболее эффективных форм взаимодействия государства и частного сектора экономики при реализации капиталоемких и долгосрочных проектов, на которые у каждой из сторон по отдельности недостаточно собственных ресурсов. Реализация подобных проектов позволяет государству выполнять свою социальную функцию, а частным партнерам получать достаточный экономический эффект.</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Слайд-15.</w:t>
      </w:r>
      <w:r w:rsidRPr="00D42E67">
        <w:rPr>
          <w:rFonts w:ascii="Times New Roman" w:hAnsi="Times New Roman" w:cs="Times New Roman"/>
          <w:sz w:val="28"/>
          <w:szCs w:val="28"/>
          <w:highlight w:val="yellow"/>
        </w:rPr>
        <w:t xml:space="preserve"> Страны и сферы, в которых используется механизмы ГЧП</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Например, в Великобритании (где зародилось ГЧП) с начала 1980-х гг. вслед за продажей государственных пакетов акций предприятий таких классических "рыночных" секторов, как сталелитейная и автомобильная промышленность, была начата приватизация компаний секторов общественных услуг, действующих в сфере телекоммуникаций, энергетики, железных дорог и т. д. В начале 1990-х гг. в Великобритании принят закон о "частной финансовой инициативе", который должен был облегчить частным структурам "вхождение" в сектор общественных услуг за счет четкого определения рамочных условий.</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 xml:space="preserve">Численность стран, в которых в различных формах развивается партнерство государства и частного сектора, постоянно растет. </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Слайд-16.</w:t>
      </w:r>
      <w:r w:rsidRPr="00D42E67">
        <w:rPr>
          <w:rFonts w:ascii="Times New Roman" w:hAnsi="Times New Roman" w:cs="Times New Roman"/>
          <w:sz w:val="28"/>
          <w:szCs w:val="28"/>
          <w:highlight w:val="yellow"/>
        </w:rPr>
        <w:t xml:space="preserve"> Объемы проектов ГЧП в ЕС</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 xml:space="preserve">Как показывает европейская статистика, объемы проектов ГЧП, их количество, а также сферы, в которых они реализуются, год от года заметно меняются. Как меняются местами и страны – лидеры по реализации таких проектов. Основное влияние на это оказывают задачи стратегического и экономического развития, стоящие перед каждым из государств в конкретный  момент времени. В последние годы лидерами по объемам реализации проектов ГЧП в Европе были Франция, Испания, Великобритания и Португалия. А основными сферами, в которых были реализованы проекты – Транспорт, Образование, Безопасность и Здравоохранение.  </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Концепция партнерства государственного и частного секторов (ГЧП) предполагает развитие любых договорных отношений, регулирующих их сотрудничество с целью оказания общественных услуг, создания или модернизации общественной инфраструктуры.</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 xml:space="preserve">Основной принцип концепции ГЧП состоит в том, что государство определяет, в каких услугах и инфраструктуре оно нуждается, а частные </w:t>
      </w:r>
      <w:r w:rsidRPr="00D42E67">
        <w:rPr>
          <w:rFonts w:ascii="Times New Roman" w:hAnsi="Times New Roman" w:cs="Times New Roman"/>
          <w:sz w:val="28"/>
          <w:szCs w:val="28"/>
        </w:rPr>
        <w:lastRenderedPageBreak/>
        <w:t xml:space="preserve">инвесторы выдвигают предложения, которые должны в наибольшей степени соответствовать требованиям государства. </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В рамках ГЧП государство играет важную роль, с одной стороны, как важнейший пользователь услугами, оказываемыми в рамках проекта, а с другой – как субъект, устанавливающий рамочные условия его реализации. Таким образом, ГЧП рассматривается как концепция, позволяющая использовать ресурсы частного сектора для развития инфраструктуры, повысить качество и увеличить объем общественных услуг и избавить государство от специфических рисков, связанных с выполнением проектов.</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 xml:space="preserve">Важная часть сделок в рамках ГЧП – распределение между участниками проекта задач, возможностей и рисков. При этом, как правило, соблюдается следующее условие: решение конкретной задачи возлагается на того партнера, который может сделать это с наибольшей эффективностью. Распределение задач и ответственности между государством и частным сектором зависит от сферы реализации проекта. </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Выгоды государства от реализации ГЧП очевидны:</w:t>
      </w:r>
    </w:p>
    <w:p w:rsidR="00D42E67" w:rsidRPr="00D42E67" w:rsidRDefault="00D42E67" w:rsidP="00D42E67">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более быстрая реализация наиболее важных проектов в области инфраструктуры;</w:t>
      </w:r>
    </w:p>
    <w:p w:rsidR="00D42E67" w:rsidRPr="00D42E67" w:rsidRDefault="00D42E67" w:rsidP="00D42E67">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ускорение развития регионов, рост их привлекательности;</w:t>
      </w:r>
    </w:p>
    <w:p w:rsidR="00D42E67" w:rsidRPr="00D42E67" w:rsidRDefault="00D42E67" w:rsidP="00D42E67">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повышение народно-хозяйственной эффективности (часто не учитываемой в экономическом анализе);</w:t>
      </w:r>
    </w:p>
    <w:p w:rsidR="00D42E67" w:rsidRPr="00D42E67" w:rsidRDefault="00D42E67" w:rsidP="00D42E67">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улучшение механизмов и моделей оказания услуг;</w:t>
      </w:r>
    </w:p>
    <w:p w:rsidR="00D42E67" w:rsidRPr="00D42E67" w:rsidRDefault="00D42E67" w:rsidP="00D42E67">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облегчение бремени, лежащего на государственном управлении;</w:t>
      </w:r>
    </w:p>
    <w:p w:rsidR="00D42E67" w:rsidRPr="00D42E67" w:rsidRDefault="00D42E67" w:rsidP="00D42E67">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снижение инвестиционных расходов (экономия может достигать 30% расходов на инвестиции);</w:t>
      </w:r>
    </w:p>
    <w:p w:rsidR="00D42E67" w:rsidRPr="00D42E67" w:rsidRDefault="00D42E67" w:rsidP="00D42E67">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оптимизация структуры финансирования за счет использования национальной и (или) международной поддержки и расширения доступа к новым источникам финансирования.</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Одной из важнейших задач, которая реализуется в рамках государственно-частного партнерства в рассмотренных странах, является создание новых рабочих мест, финансирование секторов, имеющих дефицит адекватных инструментов государственного управления, а также повышение уровня конкурентоспособности как внутренних рынков услуг, так и экономики в целом на мировых рынках. Особенно это важно для наукоемких и капиталоемких отраслей национальной экономики.</w:t>
      </w:r>
    </w:p>
    <w:p w:rsidR="00D42E67" w:rsidRPr="00D42E67" w:rsidRDefault="00D42E67" w:rsidP="00D42E67">
      <w:pPr>
        <w:spacing w:after="0" w:line="240" w:lineRule="auto"/>
        <w:ind w:firstLine="708"/>
        <w:jc w:val="both"/>
        <w:rPr>
          <w:rFonts w:ascii="Times New Roman" w:hAnsi="Times New Roman" w:cs="Times New Roman"/>
          <w:sz w:val="28"/>
          <w:szCs w:val="28"/>
        </w:rPr>
      </w:pPr>
      <w:bookmarkStart w:id="0" w:name="_Toc119315317"/>
      <w:r w:rsidRPr="00D42E67">
        <w:rPr>
          <w:rFonts w:ascii="Times New Roman" w:hAnsi="Times New Roman" w:cs="Times New Roman"/>
          <w:sz w:val="28"/>
          <w:szCs w:val="28"/>
          <w:highlight w:val="yellow"/>
        </w:rPr>
        <w:t>Каковы факторы успешности государственно-частного</w:t>
      </w:r>
      <w:r w:rsidRPr="00D42E67">
        <w:rPr>
          <w:rFonts w:ascii="Times New Roman" w:hAnsi="Times New Roman" w:cs="Times New Roman"/>
          <w:sz w:val="28"/>
          <w:szCs w:val="28"/>
        </w:rPr>
        <w:t xml:space="preserve"> партнерства</w:t>
      </w:r>
      <w:bookmarkEnd w:id="0"/>
      <w:r w:rsidRPr="00D42E67">
        <w:rPr>
          <w:rFonts w:ascii="Times New Roman" w:hAnsi="Times New Roman" w:cs="Times New Roman"/>
          <w:sz w:val="28"/>
          <w:szCs w:val="28"/>
        </w:rPr>
        <w:t xml:space="preserve">.? Для того, чтобы партнерство успешно работало, необходимо сочетание многих факторов, имеющих отношение, как к представителям обеих сторон партнерства, так и к среде, в которой они взаимодействуют в процессе реализации проекта. Что касается партнера со стороны государства, то международный и российский опыт свидетельствуют о том, что органы государственной и местной власти должны проявить политическую волю и взять на себя инициативу по привлечению бизнеса к совместной реализации проектов по оказанию услуг населению, если это является экономически </w:t>
      </w:r>
      <w:r w:rsidRPr="00D42E67">
        <w:rPr>
          <w:rFonts w:ascii="Times New Roman" w:hAnsi="Times New Roman" w:cs="Times New Roman"/>
          <w:sz w:val="28"/>
          <w:szCs w:val="28"/>
        </w:rPr>
        <w:lastRenderedPageBreak/>
        <w:t>оправданным. Создание ГЧП требует от государственных и муниципальных служащих, вовлеченных в их создание и осуществление контроля их деятельности, новых знаний, умений и навыков, которые приобретаются в процессе учебы и участия в реализации конкретных проектов. При этом органы государственной власти и местного самоуправления должны предлагать жизнеспособные проекты и иметь необходимые права.</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Частный сектор должен также проявлять инициативу и обладать соответствующим потенциалом. Необходимо наличие профессионально подготовленных, сильных в финансовом отношении, кредитоспособных партнеров.</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Что касается общей среды, то важным фактором для успешной реализации ГЧП является наличие предсказуемой и устойчивой конъюнктуры рынка. Это необходимо для того, чтобы риск, принимаемый партнером из частного сектора, был для него приемлемым (например, эффективность правовой защиты частной собственности, надежность финансовых рынков, устойчивое финансовое положение подрядчика, прозрачность закупок). Помимо этого, важно обеспечить представление о партнерстве как о справедливом, открытом предприятии, создающемся в интересах общества.</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Исследования, проводимые в этой сфере, показали, что важным благоприятным фактором среды развития ГЧП может быть территориальное стратегическое планирование, которое является организационным механизмом, во-первых, обеспечивающим прозрачный и открытый процесс формирования политики местного развития; а во-вторых, процессом, позволяющим учесть и согласовать точки зрения различных групп общества, добиться с их стороны поддержки, а значит, и привлечь дополнительные ресурсы для развития и реализации общественно значимых проектов. Тем самым, стратегическое планирование способствует возникновению совместных проектов частного и общественного секторов и успешности их реализации.</w:t>
      </w:r>
    </w:p>
    <w:p w:rsidR="00D42E67" w:rsidRPr="00D42E67" w:rsidRDefault="00D42E67" w:rsidP="00D42E67">
      <w:pPr>
        <w:spacing w:after="0" w:line="240" w:lineRule="auto"/>
        <w:ind w:firstLine="708"/>
        <w:jc w:val="both"/>
        <w:rPr>
          <w:rFonts w:ascii="Times New Roman" w:hAnsi="Times New Roman" w:cs="Times New Roman"/>
          <w:sz w:val="28"/>
          <w:szCs w:val="28"/>
        </w:rPr>
      </w:pPr>
      <w:r w:rsidRPr="00D42E67">
        <w:rPr>
          <w:rFonts w:ascii="Times New Roman" w:hAnsi="Times New Roman" w:cs="Times New Roman"/>
          <w:sz w:val="28"/>
          <w:szCs w:val="28"/>
        </w:rPr>
        <w:t xml:space="preserve"> </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b/>
          <w:sz w:val="28"/>
          <w:szCs w:val="28"/>
          <w:highlight w:val="yellow"/>
        </w:rPr>
        <w:t>Слайд-17.</w:t>
      </w:r>
      <w:r w:rsidRPr="00D42E67">
        <w:rPr>
          <w:rFonts w:ascii="Times New Roman" w:hAnsi="Times New Roman" w:cs="Times New Roman"/>
          <w:sz w:val="28"/>
          <w:szCs w:val="28"/>
          <w:highlight w:val="yellow"/>
        </w:rPr>
        <w:t xml:space="preserve"> Критические факторы успеха ГЧП</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Наряду с вышесказанным на успешность реализуемых проектов ГЧП критическим образом могут повлиять следующие факторы:</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отсутствие четких целей у государства и приверженности партнерству,</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слишком сложная процедура принятия решений,</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невнятная политика государства в отношении отдельных секторов экономики,</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недостаточная законодательная база,</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слабый риск-менеджмент,</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низкое доверие к государственной политике,</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недостаточное количество инструментов и механизмов привлечения долгосрочных финансовых ресурсов по приемлемым ценам – часто стоимость частных денег выше по сравнению с государственными ресурсами, что приводит к удорожанию проекта,</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lastRenderedPageBreak/>
        <w:t>низкая прозрачность проектов, а также низкий уровень конкуренции из-за высоких издержек участия в тендерах приводят к росту издержек, а не их уменьшению,</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отсутствие четко поставленных целей и задач у проектов, похожих более на перечень пожеланий, нежели осмысленных задач,</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неполнота информации в первоначальных описаниях проектов, которые приводили к ненужным задержкам в связи с переоценкой проектов со стороны бизнеса после уточнения целей и задач проектов,</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медлительность переговоров,</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недостаток открытости в коммуникации с заказчиком, особенно в отношении учета рисков в процессе ценообразования,</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отсутствие однозначности и стандартизации в исходной документации по проекту, которые приводили к противоречивым оценкам рисков и управления ими со стороны экспертов и участников проекта,</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i/>
          <w:sz w:val="28"/>
          <w:szCs w:val="28"/>
        </w:rPr>
      </w:pPr>
      <w:r w:rsidRPr="00D42E67">
        <w:rPr>
          <w:rFonts w:ascii="Times New Roman" w:hAnsi="Times New Roman" w:cs="Times New Roman"/>
          <w:i/>
          <w:sz w:val="28"/>
          <w:szCs w:val="28"/>
        </w:rPr>
        <w:t>высокие издержки участия в тендерах и аукционах в основном из-за необходимости привлечения консультантов в ходе подготовки документов, наиболее дорогими при этом оказывались услуги юристов.</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 xml:space="preserve"> </w:t>
      </w: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Суммируя все вышесказанное, можно заключить, что основным барьером, создающим наибольшие препятствия для развития ГЧП, как в мире, так и в России, является низкий уровень квалификации и отсутствие опыта у чиновников, курирующих проекты ГЧП от лица государства. Критичным является также отсутствие механизмов накопления этого опыта и передачи компетенций. В России и Китае серьезным препятствием для развития ГЧП выступает еще и высокий уровень коррупции и политических рисков. Все это приводит к тому, что проекты государственно-частного партнерства реализуются в России скорее не «благодаря» существующей системе, а «вопреки» ей, и то только в том случае, если на стороне государства есть «заинтересованные энтузиасты». В настоящее время, по оценкам экспертов, таковые имеются на федеральном уровне и в некоторых регионах, однако сама система не способствует их воспроизводству. Низкий уровень квалификации госчиновников является для развития ГЧП не меньшим злом, нежели коррупция.</w:t>
      </w:r>
    </w:p>
    <w:p w:rsidR="00D42E67" w:rsidRPr="00D42E67" w:rsidRDefault="00D42E67" w:rsidP="00D42E67">
      <w:pPr>
        <w:spacing w:after="0" w:line="240" w:lineRule="auto"/>
        <w:jc w:val="both"/>
        <w:rPr>
          <w:rFonts w:ascii="Times New Roman" w:hAnsi="Times New Roman" w:cs="Times New Roman"/>
          <w:sz w:val="28"/>
          <w:szCs w:val="28"/>
        </w:rPr>
      </w:pPr>
    </w:p>
    <w:p w:rsidR="00D42E67" w:rsidRPr="00D42E67" w:rsidRDefault="00D42E67" w:rsidP="00D42E67">
      <w:pPr>
        <w:spacing w:after="0" w:line="240" w:lineRule="auto"/>
        <w:jc w:val="both"/>
        <w:rPr>
          <w:rFonts w:ascii="Times New Roman" w:hAnsi="Times New Roman" w:cs="Times New Roman"/>
          <w:sz w:val="28"/>
          <w:szCs w:val="28"/>
        </w:rPr>
      </w:pPr>
      <w:r w:rsidRPr="00D42E67">
        <w:rPr>
          <w:rFonts w:ascii="Times New Roman" w:hAnsi="Times New Roman" w:cs="Times New Roman"/>
          <w:sz w:val="28"/>
          <w:szCs w:val="28"/>
        </w:rPr>
        <w:t>Для кардинального улучшения ситуации КСО РСПП ПФО считает необходимым:</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sz w:val="28"/>
          <w:szCs w:val="28"/>
        </w:rPr>
      </w:pPr>
      <w:r w:rsidRPr="00D42E67">
        <w:rPr>
          <w:rFonts w:ascii="Times New Roman" w:hAnsi="Times New Roman" w:cs="Times New Roman"/>
          <w:sz w:val="28"/>
          <w:szCs w:val="28"/>
        </w:rPr>
        <w:t>создание государством для привлечения инвестиций в государственно-частные партнерства благоприятного налогового механизма, включающего в себя:</w:t>
      </w:r>
    </w:p>
    <w:p w:rsidR="00D42E67" w:rsidRPr="00D42E67" w:rsidRDefault="00D42E67" w:rsidP="00D42E67">
      <w:pPr>
        <w:numPr>
          <w:ilvl w:val="1"/>
          <w:numId w:val="4"/>
        </w:numPr>
        <w:suppressAutoHyphens/>
        <w:spacing w:after="0" w:line="240" w:lineRule="auto"/>
        <w:ind w:left="0"/>
        <w:jc w:val="both"/>
        <w:rPr>
          <w:rFonts w:ascii="Times New Roman" w:hAnsi="Times New Roman" w:cs="Times New Roman"/>
          <w:sz w:val="28"/>
          <w:szCs w:val="28"/>
        </w:rPr>
      </w:pPr>
      <w:r w:rsidRPr="00D42E67">
        <w:rPr>
          <w:rFonts w:ascii="Times New Roman" w:hAnsi="Times New Roman" w:cs="Times New Roman"/>
          <w:sz w:val="28"/>
          <w:szCs w:val="28"/>
        </w:rPr>
        <w:t>совершенствование амортизационной политики (в т.ч. сокращение сроков амортизации);</w:t>
      </w:r>
    </w:p>
    <w:p w:rsidR="00D42E67" w:rsidRPr="00D42E67" w:rsidRDefault="00D42E67" w:rsidP="00D42E67">
      <w:pPr>
        <w:numPr>
          <w:ilvl w:val="1"/>
          <w:numId w:val="4"/>
        </w:numPr>
        <w:suppressAutoHyphens/>
        <w:spacing w:after="0" w:line="240" w:lineRule="auto"/>
        <w:ind w:left="0"/>
        <w:jc w:val="both"/>
        <w:rPr>
          <w:rFonts w:ascii="Times New Roman" w:hAnsi="Times New Roman" w:cs="Times New Roman"/>
          <w:sz w:val="28"/>
          <w:szCs w:val="28"/>
        </w:rPr>
      </w:pPr>
      <w:r w:rsidRPr="00D42E67">
        <w:rPr>
          <w:rFonts w:ascii="Times New Roman" w:hAnsi="Times New Roman" w:cs="Times New Roman"/>
          <w:sz w:val="28"/>
          <w:szCs w:val="28"/>
        </w:rPr>
        <w:tab/>
        <w:t>кардинальное изменение положения в области администрирования НДС;</w:t>
      </w:r>
    </w:p>
    <w:p w:rsidR="00D42E67" w:rsidRPr="00D42E67" w:rsidRDefault="00D42E67" w:rsidP="00D42E67">
      <w:pPr>
        <w:numPr>
          <w:ilvl w:val="1"/>
          <w:numId w:val="4"/>
        </w:numPr>
        <w:suppressAutoHyphens/>
        <w:spacing w:after="0" w:line="240" w:lineRule="auto"/>
        <w:ind w:left="0"/>
        <w:jc w:val="both"/>
        <w:rPr>
          <w:rFonts w:ascii="Times New Roman" w:hAnsi="Times New Roman" w:cs="Times New Roman"/>
          <w:sz w:val="28"/>
          <w:szCs w:val="28"/>
        </w:rPr>
      </w:pPr>
      <w:r w:rsidRPr="00D42E67">
        <w:rPr>
          <w:rFonts w:ascii="Times New Roman" w:hAnsi="Times New Roman" w:cs="Times New Roman"/>
          <w:sz w:val="28"/>
          <w:szCs w:val="28"/>
        </w:rPr>
        <w:lastRenderedPageBreak/>
        <w:tab/>
        <w:t>введение нулевой ставки НДС при ввозе технологического оборудования;</w:t>
      </w:r>
    </w:p>
    <w:p w:rsidR="00D42E67" w:rsidRPr="00D42E67" w:rsidRDefault="00D42E67" w:rsidP="00D42E67">
      <w:pPr>
        <w:numPr>
          <w:ilvl w:val="1"/>
          <w:numId w:val="4"/>
        </w:numPr>
        <w:suppressAutoHyphens/>
        <w:spacing w:after="0" w:line="240" w:lineRule="auto"/>
        <w:ind w:left="0"/>
        <w:jc w:val="both"/>
        <w:rPr>
          <w:rFonts w:ascii="Times New Roman" w:hAnsi="Times New Roman" w:cs="Times New Roman"/>
          <w:sz w:val="28"/>
          <w:szCs w:val="28"/>
        </w:rPr>
      </w:pPr>
      <w:r w:rsidRPr="00D42E67">
        <w:rPr>
          <w:rFonts w:ascii="Times New Roman" w:hAnsi="Times New Roman" w:cs="Times New Roman"/>
          <w:sz w:val="28"/>
          <w:szCs w:val="28"/>
        </w:rPr>
        <w:tab/>
        <w:t>снижение (освобождение) от налога на имущество юридических лиц по основным средствам в течение первых 3 – 5 лет эксплуатации;</w:t>
      </w:r>
    </w:p>
    <w:p w:rsidR="00D42E67" w:rsidRPr="00D42E67" w:rsidRDefault="00D42E67" w:rsidP="00D42E67">
      <w:pPr>
        <w:numPr>
          <w:ilvl w:val="1"/>
          <w:numId w:val="4"/>
        </w:numPr>
        <w:suppressAutoHyphens/>
        <w:spacing w:after="0" w:line="240" w:lineRule="auto"/>
        <w:ind w:left="0"/>
        <w:jc w:val="both"/>
        <w:rPr>
          <w:rFonts w:ascii="Times New Roman" w:hAnsi="Times New Roman" w:cs="Times New Roman"/>
          <w:sz w:val="28"/>
          <w:szCs w:val="28"/>
        </w:rPr>
      </w:pPr>
      <w:r w:rsidRPr="00D42E67">
        <w:rPr>
          <w:rFonts w:ascii="Times New Roman" w:hAnsi="Times New Roman" w:cs="Times New Roman"/>
          <w:sz w:val="28"/>
          <w:szCs w:val="28"/>
        </w:rPr>
        <w:tab/>
        <w:t>освобождение от НДС НИОКР негосударственных организаций;</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sz w:val="28"/>
          <w:szCs w:val="28"/>
        </w:rPr>
      </w:pPr>
      <w:r w:rsidRPr="00D42E67">
        <w:rPr>
          <w:rFonts w:ascii="Times New Roman" w:hAnsi="Times New Roman" w:cs="Times New Roman"/>
          <w:sz w:val="28"/>
          <w:szCs w:val="28"/>
        </w:rPr>
        <w:t>обеспечение государством роста квалификации менеджеров;</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sz w:val="28"/>
          <w:szCs w:val="28"/>
        </w:rPr>
      </w:pPr>
      <w:r w:rsidRPr="00D42E67">
        <w:rPr>
          <w:rFonts w:ascii="Times New Roman" w:hAnsi="Times New Roman" w:cs="Times New Roman"/>
          <w:sz w:val="28"/>
          <w:szCs w:val="28"/>
        </w:rPr>
        <w:t xml:space="preserve"> прекращение практики, когда распределение рисков между государством и бизнесом в ходе проекта пересматривается по нескольку раз;</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sz w:val="28"/>
          <w:szCs w:val="28"/>
        </w:rPr>
      </w:pPr>
      <w:r w:rsidRPr="00D42E67">
        <w:rPr>
          <w:rFonts w:ascii="Times New Roman" w:hAnsi="Times New Roman" w:cs="Times New Roman"/>
          <w:sz w:val="28"/>
          <w:szCs w:val="28"/>
        </w:rPr>
        <w:t>создание национальной базы данных о подобных проектах для аккумулирования опыта, такая база данных позволила бы быстрее и точнее производить оценку рисков и предлагать более конкурентную цену;</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sz w:val="28"/>
          <w:szCs w:val="28"/>
        </w:rPr>
      </w:pPr>
      <w:r w:rsidRPr="00D42E67">
        <w:rPr>
          <w:rFonts w:ascii="Times New Roman" w:hAnsi="Times New Roman" w:cs="Times New Roman"/>
          <w:sz w:val="28"/>
          <w:szCs w:val="28"/>
        </w:rPr>
        <w:t>осуществление массового обучения менеджеров в области инвестиционной и инновационной деятельности за рубежом;</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sz w:val="28"/>
          <w:szCs w:val="28"/>
        </w:rPr>
      </w:pPr>
      <w:r w:rsidRPr="00D42E67">
        <w:rPr>
          <w:rFonts w:ascii="Times New Roman" w:hAnsi="Times New Roman" w:cs="Times New Roman"/>
          <w:sz w:val="28"/>
          <w:szCs w:val="28"/>
        </w:rPr>
        <w:t>создание среды поощряющей деятельность инновационно-активных предприятий в реальном секторе экономики.</w:t>
      </w:r>
    </w:p>
    <w:p w:rsidR="00D42E67" w:rsidRPr="00D42E67" w:rsidRDefault="00D42E67" w:rsidP="00D42E67">
      <w:pPr>
        <w:numPr>
          <w:ilvl w:val="0"/>
          <w:numId w:val="4"/>
        </w:numPr>
        <w:suppressAutoHyphens/>
        <w:spacing w:after="0" w:line="240" w:lineRule="auto"/>
        <w:ind w:left="0"/>
        <w:jc w:val="both"/>
        <w:rPr>
          <w:rFonts w:ascii="Times New Roman" w:hAnsi="Times New Roman" w:cs="Times New Roman"/>
          <w:sz w:val="28"/>
          <w:szCs w:val="28"/>
        </w:rPr>
      </w:pPr>
      <w:r w:rsidRPr="00D42E67">
        <w:rPr>
          <w:rFonts w:ascii="Times New Roman" w:hAnsi="Times New Roman" w:cs="Times New Roman"/>
          <w:sz w:val="28"/>
          <w:szCs w:val="28"/>
        </w:rPr>
        <w:t>принятие Закона о промышленной политике!!!</w:t>
      </w:r>
    </w:p>
    <w:p w:rsidR="00D42E67" w:rsidRPr="00D42E67" w:rsidRDefault="00D42E67" w:rsidP="00D42E67">
      <w:pPr>
        <w:spacing w:after="0" w:line="240" w:lineRule="auto"/>
        <w:ind w:firstLine="567"/>
        <w:jc w:val="both"/>
        <w:rPr>
          <w:rFonts w:ascii="Times New Roman" w:hAnsi="Times New Roman" w:cs="Times New Roman"/>
          <w:sz w:val="28"/>
          <w:szCs w:val="28"/>
        </w:rPr>
      </w:pPr>
      <w:r w:rsidRPr="00D42E67">
        <w:rPr>
          <w:rFonts w:ascii="Times New Roman" w:hAnsi="Times New Roman" w:cs="Times New Roman"/>
          <w:sz w:val="28"/>
          <w:szCs w:val="28"/>
        </w:rPr>
        <w:t>Таким образом, наряду с правовыми, экономическими условиями и условиями в области управления, сильная и дееспособная государственная власть, руководствующаяся национальными целями, а также превращение компаний и бизнес-структур в полноценные субъекты политики, выражающие интересы общества, позволят и далее развивать ГЧП в России.</w:t>
      </w:r>
    </w:p>
    <w:p w:rsidR="00D42E67" w:rsidRPr="00D42E67" w:rsidRDefault="00D42E67" w:rsidP="00D42E67">
      <w:pPr>
        <w:spacing w:after="0" w:line="240" w:lineRule="auto"/>
        <w:ind w:firstLine="567"/>
        <w:jc w:val="both"/>
        <w:rPr>
          <w:rFonts w:ascii="Times New Roman" w:hAnsi="Times New Roman" w:cs="Times New Roman"/>
          <w:sz w:val="28"/>
          <w:szCs w:val="28"/>
        </w:rPr>
      </w:pPr>
      <w:r w:rsidRPr="00D42E67">
        <w:rPr>
          <w:rFonts w:ascii="Times New Roman" w:hAnsi="Times New Roman" w:cs="Times New Roman"/>
          <w:sz w:val="28"/>
          <w:szCs w:val="28"/>
        </w:rPr>
        <w:t>Сочетание всех предложенных мер, уверены, обеспечит достижение поставленной руководством нашего государства цели – сделать Россию инновационной страной в самом широком смысле слова.</w:t>
      </w:r>
    </w:p>
    <w:p w:rsidR="00D42E67" w:rsidRPr="00D42E67" w:rsidRDefault="00D42E67" w:rsidP="00D42E67">
      <w:pPr>
        <w:spacing w:after="0" w:line="240" w:lineRule="auto"/>
        <w:ind w:firstLine="567"/>
        <w:jc w:val="both"/>
        <w:rPr>
          <w:rFonts w:ascii="Times New Roman" w:hAnsi="Times New Roman" w:cs="Times New Roman"/>
          <w:sz w:val="28"/>
          <w:szCs w:val="28"/>
          <w:lang w:val="en-US"/>
        </w:rPr>
      </w:pPr>
      <w:r w:rsidRPr="00D42E67">
        <w:rPr>
          <w:rFonts w:ascii="Times New Roman" w:hAnsi="Times New Roman" w:cs="Times New Roman"/>
          <w:sz w:val="28"/>
          <w:szCs w:val="28"/>
        </w:rPr>
        <w:t>Спасибо за внимание.</w:t>
      </w:r>
    </w:p>
    <w:p w:rsidR="008743A6" w:rsidRDefault="008743A6"/>
    <w:sectPr w:rsidR="008743A6" w:rsidSect="00D42E6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3A6" w:rsidRDefault="008743A6" w:rsidP="00D42E67">
      <w:pPr>
        <w:spacing w:after="0" w:line="240" w:lineRule="auto"/>
      </w:pPr>
      <w:r>
        <w:separator/>
      </w:r>
    </w:p>
  </w:endnote>
  <w:endnote w:type="continuationSeparator" w:id="1">
    <w:p w:rsidR="008743A6" w:rsidRDefault="008743A6" w:rsidP="00D42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3A6" w:rsidRDefault="008743A6" w:rsidP="00D42E67">
      <w:pPr>
        <w:spacing w:after="0" w:line="240" w:lineRule="auto"/>
      </w:pPr>
      <w:r>
        <w:separator/>
      </w:r>
    </w:p>
  </w:footnote>
  <w:footnote w:type="continuationSeparator" w:id="1">
    <w:p w:rsidR="008743A6" w:rsidRDefault="008743A6" w:rsidP="00D42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6235"/>
      <w:docPartObj>
        <w:docPartGallery w:val="Page Numbers (Top of Page)"/>
        <w:docPartUnique/>
      </w:docPartObj>
    </w:sdtPr>
    <w:sdtContent>
      <w:p w:rsidR="00D42E67" w:rsidRDefault="00D42E67">
        <w:pPr>
          <w:pStyle w:val="a5"/>
          <w:jc w:val="center"/>
        </w:pPr>
        <w:fldSimple w:instr=" PAGE   \* MERGEFORMAT ">
          <w:r>
            <w:rPr>
              <w:noProof/>
            </w:rPr>
            <w:t>11</w:t>
          </w:r>
        </w:fldSimple>
      </w:p>
    </w:sdtContent>
  </w:sdt>
  <w:p w:rsidR="00D42E67" w:rsidRDefault="00D42E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9229D"/>
    <w:multiLevelType w:val="hybridMultilevel"/>
    <w:tmpl w:val="2698F566"/>
    <w:lvl w:ilvl="0" w:tplc="B41AC3FC">
      <w:start w:val="1"/>
      <w:numFmt w:val="bullet"/>
      <w:lvlText w:val=""/>
      <w:lvlJc w:val="left"/>
      <w:pPr>
        <w:tabs>
          <w:tab w:val="num" w:pos="567"/>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E008FD"/>
    <w:multiLevelType w:val="hybridMultilevel"/>
    <w:tmpl w:val="079E89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1232B5"/>
    <w:multiLevelType w:val="hybridMultilevel"/>
    <w:tmpl w:val="260E45BC"/>
    <w:lvl w:ilvl="0" w:tplc="0EEA7786">
      <w:start w:val="1"/>
      <w:numFmt w:val="bullet"/>
      <w:lvlText w:val=""/>
      <w:lvlJc w:val="left"/>
      <w:pPr>
        <w:tabs>
          <w:tab w:val="num" w:pos="1077"/>
        </w:tabs>
        <w:ind w:left="0" w:firstLine="68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B171A6D"/>
    <w:multiLevelType w:val="hybridMultilevel"/>
    <w:tmpl w:val="0C1A8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2E67"/>
    <w:rsid w:val="008743A6"/>
    <w:rsid w:val="00D42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42E67"/>
    <w:pPr>
      <w:spacing w:after="0" w:line="240" w:lineRule="auto"/>
      <w:ind w:right="110" w:firstLine="36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D42E67"/>
    <w:rPr>
      <w:rFonts w:ascii="Times New Roman" w:eastAsia="Times New Roman" w:hAnsi="Times New Roman" w:cs="Times New Roman"/>
      <w:sz w:val="28"/>
      <w:szCs w:val="24"/>
    </w:rPr>
  </w:style>
  <w:style w:type="paragraph" w:styleId="a5">
    <w:name w:val="header"/>
    <w:basedOn w:val="a"/>
    <w:link w:val="a6"/>
    <w:uiPriority w:val="99"/>
    <w:unhideWhenUsed/>
    <w:rsid w:val="00D42E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2E67"/>
  </w:style>
  <w:style w:type="paragraph" w:styleId="a7">
    <w:name w:val="footer"/>
    <w:basedOn w:val="a"/>
    <w:link w:val="a8"/>
    <w:uiPriority w:val="99"/>
    <w:semiHidden/>
    <w:unhideWhenUsed/>
    <w:rsid w:val="00D42E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42E67"/>
  </w:style>
</w:styles>
</file>

<file path=word/webSettings.xml><?xml version="1.0" encoding="utf-8"?>
<w:webSettings xmlns:r="http://schemas.openxmlformats.org/officeDocument/2006/relationships" xmlns:w="http://schemas.openxmlformats.org/wordprocessingml/2006/main">
  <w:divs>
    <w:div w:id="8665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4320</Words>
  <Characters>24628</Characters>
  <Application>Microsoft Office Word</Application>
  <DocSecurity>0</DocSecurity>
  <Lines>205</Lines>
  <Paragraphs>57</Paragraphs>
  <ScaleCrop>false</ScaleCrop>
  <Company/>
  <LinksUpToDate>false</LinksUpToDate>
  <CharactersWithSpaces>28891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KirovAM</dc:creator>
  <cp:keywords/>
  <dc:description/>
  <cp:lastModifiedBy>KirovAM</cp:lastModifiedBy>
  <cp:revision>3</cp:revision>
  <dcterms:created xsi:type="dcterms:W3CDTF">2011-10-07T05:49:00Z</dcterms:created>
  <dcterms:modified xsi:type="dcterms:W3CDTF">2011-10-07T05:50:00Z</dcterms:modified>
</cp:coreProperties>
</file>