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</w:pPr>
      <w:r w:rsidRPr="004A3A25">
        <w:rPr>
          <w:rFonts w:ascii="Times New Roman" w:eastAsia="MS Mincho" w:hAnsi="Times New Roman" w:cs="Times New Roman"/>
          <w:color w:val="0F243E"/>
          <w:sz w:val="24"/>
          <w:szCs w:val="24"/>
        </w:rPr>
        <w:t xml:space="preserve">                      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t>УТВЕРЖДЕНО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  <w:t xml:space="preserve"> </w:t>
      </w:r>
    </w:p>
    <w:p w:rsidR="004A3A25" w:rsidRPr="004A3A25" w:rsidRDefault="0095556A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</w:t>
      </w:r>
      <w:r w:rsidR="004A3A25"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>Распоряжением Президента РСПП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 </w:t>
      </w:r>
      <w:r w:rsidR="0095556A"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От 15</w:t>
      </w:r>
      <w:r w:rsid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декабря 2020</w:t>
      </w: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г. №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32</w:t>
      </w:r>
    </w:p>
    <w:p w:rsidR="004A3A25" w:rsidRPr="004A3A25" w:rsidRDefault="0095556A" w:rsidP="004A3A25">
      <w:pPr>
        <w:spacing w:before="180" w:after="180" w:line="240" w:lineRule="auto"/>
        <w:ind w:left="43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5556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</w:t>
      </w:r>
      <w:r w:rsidRP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МЕТОДИКА 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АНТИКОРРУПЦИОННОГО РЕЙТИНГА РОССИЙСКОГО БИЗНЕСА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  <w:bookmarkStart w:id="0" w:name="section"/>
      <w:bookmarkEnd w:id="0"/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2019 г.</w:t>
      </w:r>
    </w:p>
    <w:p w:rsidR="004F4FFD" w:rsidRDefault="004F4FFD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ОГЛАВЛЕНИЕ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 ОБЩИЕ ПОЛОЖЕНИЯ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1.1. </w:t>
      </w:r>
      <w:r w:rsidR="00D219C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основы.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………………………….…………….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3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1.2. Область применения …………………………………………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4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1.3. Термины и определения ……………………………………..    стр. 5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2.1. </w:t>
      </w:r>
      <w:r w:rsidR="00B604ED" w:rsidRP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Определение выборки Рейтинга.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…..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..  стр. 6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2.2. Методы  …………. …………...………………………………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2.3. Критерии и показатели  ……… …………………………..….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3.1. Источники информации ……………………………………….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…….     стр. 8</w:t>
      </w:r>
    </w:p>
    <w:p w:rsid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3.3. Контроль ………………………………………………………   стр. 9</w:t>
      </w:r>
    </w:p>
    <w:p w:rsidR="00C12D42" w:rsidRPr="004A3A25" w:rsidRDefault="00C12D42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C12D42">
        <w:rPr>
          <w:rFonts w:ascii="Times New Roman" w:eastAsia="Cambria" w:hAnsi="Times New Roman" w:cs="Times New Roman"/>
          <w:color w:val="0F243E"/>
          <w:sz w:val="28"/>
          <w:szCs w:val="28"/>
        </w:rPr>
        <w:t>3.4. Пересмотр условий и результатов Рейтинга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…………………..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>стр. 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 СОВЕРШЕНСТВОВАНИЕ МЕТОДИКИ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4.1.  Основания ………………………………………………………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4.2.  Сроки  ……………………………………………………………стр.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 ПУБЛИЧНОСТЬ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5.1.  Прозрачность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методики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F414FA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5.2.  Публичность </w:t>
      </w:r>
      <w:r w:rsidR="004F4FFD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результатов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………………………………………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0</w:t>
      </w:r>
    </w:p>
    <w:p w:rsidR="004F4FFD" w:rsidRDefault="004F4FFD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КОНТАКТНАЯ ИНФОРМАЦИЯ ПРАВООБЛАДАТЕЛЯ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тр.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F4FFD" w:rsidRDefault="004F4FFD" w:rsidP="00E60B1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1.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Таблица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оценки и расчета измеряемых показателей   Антикоррупционного  рейтинга  российского бизнеса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отношении </w:t>
      </w:r>
      <w:proofErr w:type="spellStart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компании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(используется 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для проведения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экспертизы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международному стандарту ISO37001:2016 и Антикоррупционной хартии российского бизнеса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4D84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2.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Единая упорядоченная шкала Антикоррупционного рейтинга российского бизнеса.</w:t>
      </w:r>
    </w:p>
    <w:p w:rsidR="004A3A25" w:rsidRDefault="00DF4D84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E60B1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="00D63FA5"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Примерный перечень нормативных правовых актов и иных документов в области принятия компаниями мер по противодействию коррупции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F4FFD" w:rsidRDefault="004F4FFD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 ОБЩИЕ ПОЛОЖЕНИЯ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1.1.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Методические основы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Антикоррупционного рейтинга российского бизнеса (далее – Методика) разработана в соответствии с общепринятыми в международной практике принципами, терминами, понятиями, методами и процедурами рейтинга, а также Положением об Антикоррупционном рейтинге российского бизнеса (далее – Положение о Рейтинге).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Методика: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основана на понимании необходимости формирования в Российской Федерации суверенного рейтинга противодействия коррупции в бизнесе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как важной составляющей сферы деловой информации для органов государственной власти различных уровней, инвесторов, кредитных организаций, деловых партнёров/контрагентов, коллегиальных органов управления, должностных лиц и работников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электронных и печатных средств массовой информации, населения территорий деятельности, а также иных заинтересованных лиц;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регламентирует принципы, термины и понятия, область применения и технологию осуществления Рейтинга;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устанавливает прозрачность критериев рейтинга и их полную сопоставимость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 критериями международного стандарта ISO 37001:2016 «Системы управления противодействием коррупции - Требования и рекомендации по применению», которые входят в состав критериев независимой экспертизы, проводимой в целях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 182 критерия);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предусматривает независимость и компетентность процедур Рейтинга, осуществляемого независимыми экспертами под контролем независимого рейтингового комитета (далее – Рейтинговый комитет). </w:t>
      </w:r>
    </w:p>
    <w:p w:rsidR="004A3A25" w:rsidRPr="004A3A25" w:rsidRDefault="004A3A25" w:rsidP="00A55B2E">
      <w:pPr>
        <w:numPr>
          <w:ilvl w:val="0"/>
          <w:numId w:val="22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 доступность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Р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ейтинга - возможность обращения неограниченного круга компаний с заявкой на прохождение процедуры очного рейтинга (согласно п. 2.2 настоящей Методики).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позволяет: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учитывать, в том числе в рамках конкурсных процедур, уровень рисков коррупции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как делового партнёра или объекта инвестирования/кредитования;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измерять динамику управления противодействием коррупции 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путем сопоставления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результатов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 годам присвоения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проводить сравнение уровня управления противодействием коррупции организаций (компаний), которым присвоен класс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прогнозировать влияние управления противодействием коррупции на результаты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которой присвоен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 том числе в части инвестиционной и деловой привлекательности, а также развития бизнеса, включая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повышать уровень прозрачности бизнеса, укреплять торговые марки и репутацию, поддерживать уровень делового доверия и развитие инвестиционного потенциала российских компаний и экономики Российской Федерации в целом;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продвигать системное представление о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б управлении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противодействи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ем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коррупции как инструменте повышения конкурентоспособности российского бизнеса и консолидации общества в интересах долгосрочного устойчивого развития Российской Федерации.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1.2. Область применения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относится/применима к следующим явлениям, потенциально связанным с деятельностью компаний: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 в государственных, частных и государственно-частных секторах экономики;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компаниями;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сотрудниками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деловыми партнерами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сотрудников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деловых партнеров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напрямую или взятка, предлагаемая или принимаемая через третье лицо или третьим лицом.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не применима к случаям мошенничества, заключения картельных соглашений и другим нарушениям антимонопольного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законодательства, к отмыванию денег или иной незаконной деятельности, хотя подобная деятельность также может быть связана с коррупционными действиями.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Компания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может расширить область управления противодействием коррупции, включив туда перечисленные выше случаи.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Показатели и критерии Методики являются общими и применяются ко всем компаниям или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подразделениям/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частям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независимо от вида, размера и характера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от формы собственности и организационно-правовой формы.</w:t>
      </w:r>
    </w:p>
    <w:p w:rsidR="00D63FA5" w:rsidRPr="004A3A25" w:rsidRDefault="00D63FA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Период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ом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оценки деятельности компании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является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календарный год, предшествующий году присвоения Рейтинга.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1.3. Термины и определения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Антикоррупционный рейтинг российского бизнеса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- Рейтинг) - комплексная независимая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международному стандарту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 и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независимый коллегиальный экспертный орган РСПП, который осуществляет общее руководство, контроль/надзор за соблюдением Положения о Рейтинге и настоящей Методики. 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Независимость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отсутствие фактов и признаков конфликта интересов у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членов Рейтингового комитета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экспертов Рейтинга,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должностных лиц и работников РСПП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администрирующих Рейтинг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членов коллегиальных органов управления, должностных лиц 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ли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работников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рейтингуемых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компаний.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которые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полностью сопоставимы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входят в состав критериев в целях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(суммарно182 критерия);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Измеряемые показатели Рейтинга: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Отметки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«Есть»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/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«Нет»</w:t>
      </w:r>
      <w:r w:rsid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каждому из </w:t>
      </w:r>
      <w:r w:rsidR="00A55B2E" w:rsidRP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ритериев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применяются в отношении: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в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также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ВНД)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термины/определения/принципы 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описание функци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й/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процедур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содержащих определение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ключевых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показателей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эффективности/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результативности управления противодействием коррупции;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ab/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н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аличия/раскрытия компанией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>ключевых показателей эффективности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/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результативности </w:t>
      </w:r>
      <w:r w:rsidR="00AF5CB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– КПЭ)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змеряемых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течение года, предшествующего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присвоению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Максимально возможный 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максимально возможная сумма отметок «Есть»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сумма отметок «Есть»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D63FA5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Удельный показатель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процент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219CA" w:rsidRDefault="004A3A25" w:rsidP="00D219CA">
      <w:pPr>
        <w:numPr>
          <w:ilvl w:val="0"/>
          <w:numId w:val="46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 рассчитанная в баллах по установленному алгоритму оценка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</w:t>
      </w:r>
      <w:r w:rsidR="00AF5CB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ям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219CA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краткое буквенно-графическое обозначение </w:t>
      </w:r>
      <w:r w:rsidR="00AF5CB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уровня 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деятельности </w:t>
      </w:r>
      <w:r w:rsidR="00A55B2E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ритериям </w:t>
      </w:r>
      <w:r w:rsidR="00AF5CB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7.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Единая упорядоченная шкала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табличное отображение </w:t>
      </w:r>
      <w:r w:rsidR="006506A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</w:t>
      </w:r>
      <w:r w:rsidR="00D63FA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Классу Рейтинга</w:t>
      </w:r>
      <w:r w:rsidR="00D63FA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диапазона значений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Удельного показателя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="004A18F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полученных </w:t>
      </w:r>
      <w:proofErr w:type="spellStart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рейт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нгуемой</w:t>
      </w:r>
      <w:proofErr w:type="spellEnd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2.1. 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Определение в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ыборк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Рейтинга. </w:t>
      </w:r>
    </w:p>
    <w:p w:rsidR="009D6328" w:rsidRDefault="00CC56CB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Перечень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участвующих в Рейтинге</w:t>
      </w:r>
      <w:r w:rsidRP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выборка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),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в целях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проведения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оценки и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присвоения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ежегодно 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пределяется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решением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Рейтингов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комитет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соответствии с Положением о Рейтинге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:</w:t>
      </w:r>
    </w:p>
    <w:p w:rsidR="009D6328" w:rsidRDefault="009D6328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 компаний, вошедших в список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«Эксперт 400 - Рейтинг крупнейших компаний России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показателям объёма реализации, прибыли до налогообложения и чистой прибыли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 числа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прошедших процедуру Общественного подтверждения реализации положений Антикоррупционной хартии российского бизнеса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в году проведения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очередного Антикоррупционного рейтинга российского бизнеса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компаний, направивших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заявки</w:t>
      </w:r>
      <w:r w:rsidR="00B4178D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</w:t>
      </w:r>
      <w:r w:rsidR="00D219CA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Рейтинговый комитет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с подтверждением участия в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Очно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е (см.: п.2.2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2.2. Методы Рейтинга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Измеряемых показателей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см.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п.2.3 Методики) 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предоставленных </w:t>
      </w:r>
      <w:proofErr w:type="spellStart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документов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 необходимых для независимой оценки в рамках Рейтинга,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оригинала Заключения аккредитованного экспертного центра по результатам процедуры Общественного подтверждения реализаци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Измеряемых показателей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см.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п.2.3 Методики)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информации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, публикуемой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источниках.</w:t>
      </w:r>
    </w:p>
    <w:p w:rsidR="004A3A25" w:rsidRPr="006475BB" w:rsidRDefault="004A3A25" w:rsidP="006475BB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 публичного информирования 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предусмотрен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Положением об Антикоррупционном рейтинге российского бизнеса и Методикой Антикоррупционного рейтинга российского бизнеса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. Указанные документы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размещаются на официальных сайтах РСПП (</w:t>
      </w:r>
      <w:hyperlink r:id="rId9" w:history="1">
        <w:r w:rsidR="006475BB"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 w:rsidRP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(</w:t>
      </w:r>
      <w:hyperlink r:id="rId10" w:history="1">
        <w:r w:rsidR="00F120BD" w:rsidRPr="00F120BD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F120BD" w:rsidRPr="00F120BD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наряду с результатами Рейтинга.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2.3. 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Определение 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х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Рейтинга </w:t>
      </w:r>
    </w:p>
    <w:p w:rsidR="002F58B3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При определении измеряемых показателей Рейтинга используют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ся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="000021A4" w:rsidRP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>то есть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критерии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что о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>беспеч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ивает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сопоставимост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ь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уровня управления противодействием коррупции российских компаний с таковым иностранных и международных 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F02CE0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Одновременно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критерии </w:t>
      </w:r>
      <w:r w:rsidR="0012408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полностью сопоставимы с показателями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что позволяет при проведении Рейтинга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компаний -</w:t>
      </w:r>
      <w:r w:rsid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участников Антикоррупционной хартии российского бизнеса, прошедших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процедуру «Общественное подтверждение»,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использовать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полученные по итогам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указанной процедуры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экспертные оценки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proofErr w:type="gramEnd"/>
    </w:p>
    <w:p w:rsidR="000021A4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Учитывая изложенное:</w:t>
      </w:r>
    </w:p>
    <w:p w:rsidR="004A3A25" w:rsidRPr="004A3A25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Удельный показатель Рейтинга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687072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Приложению 1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Методике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как процент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ное 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со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отношение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Максимально возможн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ю</w:t>
      </w:r>
      <w:r w:rsid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36902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подтверждения»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выраженная в баллах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в рамках процедуры «Общественного подтверждения», документированная в Заключени</w:t>
      </w:r>
      <w:proofErr w:type="gramStart"/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proofErr w:type="gramEnd"/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аккредитованного экспертного центра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1B1C82" w:rsidRPr="001B1C82">
        <w:t xml:space="preserve"> </w:t>
      </w:r>
      <w:proofErr w:type="gramStart"/>
      <w:r w:rsidR="001B1C82" w:rsidRPr="001B1C82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36902">
        <w:rPr>
          <w:rFonts w:ascii="Times New Roman" w:eastAsia="Cambria" w:hAnsi="Times New Roman" w:cs="Times New Roman"/>
          <w:color w:val="0F243E"/>
          <w:sz w:val="28"/>
          <w:szCs w:val="28"/>
        </w:rPr>
        <w:t>применяется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при определении класса Рейтинга в отношении компаний, прошедших в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>предшествующем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году процедуру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в баллах по установленному алгоритму оценки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182 критериям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включающим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также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</w:t>
      </w:r>
      <w:r w:rsidR="00DF4D84" w:rsidRPr="00DF4D84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, присваивается компании</w:t>
      </w:r>
      <w:r w:rsidR="00A1604D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>Един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упорядоченн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шкал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е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(Приложение 2)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соответств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ии с полученным в результате незави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имой оценки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значением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либо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</w:t>
      </w:r>
      <w:r w:rsidR="00C77AA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ой, </w:t>
      </w:r>
      <w:r w:rsidR="00C77AA9"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>полученной компанией по итогам Общественного подтверждения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3.1. Источники информации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 основании предоставляемых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документов, подтверждающих соответствие критериям международного стандарта ISO 37001:2016 «Системы управления противодействием коррупции – Требования и рекомендации по применению», содержащи</w:t>
      </w:r>
      <w:r w:rsidR="00816D6A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ся в </w:t>
      </w:r>
      <w:r w:rsidRPr="00F02CE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Методике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7D0720" w:rsidRPr="007D072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П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ри этом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несут ответственность за достоверность, значимость и полноту </w:t>
      </w:r>
      <w:r w:rsidR="00C77AA9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предоставляемой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документированной информации, а также информации, размещаемой на официальных сайтах.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проводится исключительно на основе анализа информации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 представленной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>и/или сайтах обязательного раскрытия информации в Российской Федерации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,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 публичной информации.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компания несет ответственность за достоверность, значимость и полноту опубликованных документов, поскольку предполагается, что эта публичная информация прошла процесс внутренней верификации и согласования. </w:t>
      </w:r>
    </w:p>
    <w:p w:rsidR="004A3A25" w:rsidRPr="004A3A25" w:rsidRDefault="00816D6A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компании, получившей в году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проведения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Свидетельство об Общественном подтверждении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bookmarkStart w:id="1" w:name="_GoBack"/>
      <w:bookmarkEnd w:id="1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реализации положений 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определяется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на основании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содержащейся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аключени</w:t>
      </w:r>
      <w:proofErr w:type="gramStart"/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proofErr w:type="gramEnd"/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аккредитованного экспертного центра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по итогам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процедуры Общественного подтверждения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результатов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E052C2" w:rsidRDefault="00E052C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гарантирует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совместимость положений российского антикоррупционного законодательства, основных требований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реализации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 принципиальными положениями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критериям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267519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результатов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достигается за счет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единств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однозначност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термино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логии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универсального характера критериев оценки,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унификаци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 оценки, а также контрол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качества независимой экспертизы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3.3. Контроль качества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Контроль соблюдения Положения о Рейтинге и настоящей Методики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, включая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в случае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необходимости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верификацию результатов, рассмотрение заявлений и обращений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поступивших в установленном порядке,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осуществляет независимый коллегиальный экспертный орган –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Рейтинговый комитет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Default="004A3A25" w:rsidP="00007E2C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Информационно-аналитическое и организационно-методическое сопровождение Антикоррупционного рейтинга российского бизнеса осуществляется ответственными подразделениями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ппарата РСПП.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sz w:val="28"/>
          <w:szCs w:val="28"/>
        </w:rPr>
        <w:t>3.4. Пересмотр условий и результатов Рейтинга.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В случае выявления и публичного раскрытия в период проведения Рейтинга общественно значимых фактов коррупции в отношении руководства и должностных лиц </w:t>
      </w:r>
      <w:r w:rsidR="00A55B2E">
        <w:rPr>
          <w:rFonts w:ascii="Times New Roman" w:eastAsia="Cambria" w:hAnsi="Times New Roman" w:cs="Times New Roman"/>
          <w:sz w:val="28"/>
          <w:szCs w:val="28"/>
        </w:rPr>
        <w:t>компании</w:t>
      </w:r>
      <w:r w:rsidR="00F02CE0">
        <w:rPr>
          <w:rFonts w:ascii="Times New Roman" w:eastAsia="Cambria" w:hAnsi="Times New Roman" w:cs="Times New Roman"/>
          <w:sz w:val="28"/>
          <w:szCs w:val="28"/>
        </w:rPr>
        <w:t xml:space="preserve">, а также в случаях предусмотренных </w:t>
      </w:r>
      <w:proofErr w:type="spellStart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п.п</w:t>
      </w:r>
      <w:proofErr w:type="spellEnd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.</w:t>
      </w:r>
      <w:r w:rsidR="002F1AD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2.9</w:t>
      </w:r>
      <w:r w:rsidR="002F1AD8">
        <w:rPr>
          <w:rFonts w:ascii="Times New Roman" w:eastAsia="Cambria" w:hAnsi="Times New Roman" w:cs="Times New Roman"/>
          <w:sz w:val="28"/>
          <w:szCs w:val="28"/>
        </w:rPr>
        <w:t>-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2.1</w:t>
      </w:r>
      <w:r w:rsidR="002F1AD8">
        <w:rPr>
          <w:rFonts w:ascii="Times New Roman" w:eastAsia="Cambria" w:hAnsi="Times New Roman" w:cs="Times New Roman"/>
          <w:sz w:val="28"/>
          <w:szCs w:val="28"/>
        </w:rPr>
        <w:t xml:space="preserve">1 </w:t>
      </w:r>
      <w:r w:rsidR="002F1AD8">
        <w:rPr>
          <w:rFonts w:ascii="Times New Roman" w:eastAsia="Cambria" w:hAnsi="Times New Roman" w:cs="Times New Roman"/>
          <w:sz w:val="28"/>
          <w:szCs w:val="28"/>
        </w:rPr>
        <w:lastRenderedPageBreak/>
        <w:t>Положения о Рейтинге (</w:t>
      </w:r>
      <w:r w:rsidR="00F02CE0">
        <w:rPr>
          <w:rFonts w:ascii="Times New Roman" w:eastAsia="Cambria" w:hAnsi="Times New Roman" w:cs="Times New Roman"/>
          <w:sz w:val="28"/>
          <w:szCs w:val="28"/>
        </w:rPr>
        <w:t>конфликт интересов</w:t>
      </w:r>
      <w:r w:rsidR="002F1AD8">
        <w:rPr>
          <w:rFonts w:ascii="Times New Roman" w:eastAsia="Cambria" w:hAnsi="Times New Roman" w:cs="Times New Roman"/>
          <w:sz w:val="28"/>
          <w:szCs w:val="28"/>
        </w:rPr>
        <w:t>)</w:t>
      </w:r>
      <w:r w:rsidR="00F02CE0">
        <w:rPr>
          <w:rFonts w:ascii="Times New Roman" w:eastAsia="Cambria" w:hAnsi="Times New Roman" w:cs="Times New Roman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 Рейтинговый комитет вправе принять решение об изменении условий или пересмотре результатов Рейтинга, в том числе: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аннулировать результаты Рейтинга;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исключить компанию из участников Рейтинга и не присваивать ей класс Рейтинга в текущем году;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дисконтировать результат рейтинга на условный индекс;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рекомендовать  проведение комплексной оценки реализации в компании положений Антикоррупционной хартии российского бизнеса в соответствии с процедурой Общественного подтверждения.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 СОВЕРШЕНСТВОВАНИЕ МЕТОДИКИ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4.1. Основания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Изменения и/или дополнения в Методику могут быть внесены по представлению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Рейтингового комитета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целях ее совершенствования, внесения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уточнени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й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том числе на основании обращений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4.2. Сроки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Внесение изменений и/или дополнений в Методику может осуществляться в период не позднее 30 декабря текущего года.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ПУБЛИЧНОСТЬ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5.1. Прозрачность </w:t>
      </w:r>
      <w:r w:rsid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является публичным документом и без каких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либо сокращений и/или изъятий размещается на официальных сайтах РСПП и Антикоррупционной хартии российского бизнеса.</w:t>
      </w:r>
    </w:p>
    <w:p w:rsidR="00C12D42" w:rsidRDefault="00C12D4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5.2. Публичность результатов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Результаты Антикоррупционного рейтинга российского бизнеса в электронном и печатном форматах являются публичной информацией, используемой заинтересованными сторонами в информационных сообщениях для средств массовой информации (СМИ), публикаций в печатных и электронных СМИ, в социальных информационных сетях, на официальных сайтах РСПП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1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Антикоррупционной хартии российского бизнеса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2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и иных заинтересованных лиц, а также в рамках публичных мероприятий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, проводимых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Российской Федерации и за её пределами.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Организациям (компаниям), которым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результатам очного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присвоены классы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994B47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А1, А2, А3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выдается Свидетельство о присвоении соответствующего класса Рейтинга за подписью Президента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 союза промышленников и предпринимателей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7E2C" w:rsidRPr="004A3A25" w:rsidRDefault="00007E2C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6.   КОНТАКТНАЯ ИНФОРМАЦИЯ ПРАВООБЛАДАТЕЛЯ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Правообладателем настоящей Методики и информации о результатах Антикоррупционного рейтинга российского бизнеса является Российский союз промышленников и предпринимателей:</w:t>
      </w:r>
    </w:p>
    <w:p w:rsidR="004A3A25" w:rsidRDefault="004A3A25" w:rsidP="003B2AFF">
      <w:pPr>
        <w:jc w:val="both"/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Почтовый и фактический адрес: 109240, г. Москва,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Котельническая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наб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,д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 17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6630404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Факс:+7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6630432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Адрес электронной почты: </w:t>
      </w:r>
      <w:hyperlink r:id="rId13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rspp@rspp.ru</w:t>
        </w:r>
      </w:hyperlink>
      <w:r w:rsidR="003B2AFF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Сайт: </w:t>
      </w:r>
      <w:hyperlink r:id="rId14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proofErr w:type="spellEnd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6475BB" w:rsidRPr="0095556A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Управление правового регулирования и </w:t>
      </w:r>
      <w:proofErr w:type="spellStart"/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правоприменения</w:t>
      </w:r>
      <w:proofErr w:type="spellEnd"/>
      <w:r w:rsid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3B2AFF" w:rsidRP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 добавочный номер 1120.</w:t>
      </w: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9A17C0" w:rsidRDefault="009A17C0" w:rsidP="00940E92"/>
    <w:sectPr w:rsidR="009A17C0" w:rsidSect="00A55B2E">
      <w:footerReference w:type="default" r:id="rId15"/>
      <w:pgSz w:w="12240" w:h="15840"/>
      <w:pgMar w:top="1418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7" w:rsidRDefault="00D56727">
      <w:pPr>
        <w:spacing w:after="0" w:line="240" w:lineRule="auto"/>
      </w:pPr>
      <w:r>
        <w:separator/>
      </w:r>
    </w:p>
  </w:endnote>
  <w:endnote w:type="continuationSeparator" w:id="0">
    <w:p w:rsidR="00D56727" w:rsidRDefault="00D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EndPr/>
    <w:sdtContent>
      <w:p w:rsidR="00E64F40" w:rsidRDefault="00E64F40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37">
          <w:rPr>
            <w:noProof/>
          </w:rPr>
          <w:t>11</w:t>
        </w:r>
        <w:r>
          <w:fldChar w:fldCharType="end"/>
        </w:r>
      </w:p>
    </w:sdtContent>
  </w:sdt>
  <w:p w:rsidR="00E64F40" w:rsidRDefault="00E64F40">
    <w:pPr>
      <w:pStyle w:val="1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7" w:rsidRDefault="00D56727">
      <w:pPr>
        <w:spacing w:after="0" w:line="240" w:lineRule="auto"/>
      </w:pPr>
      <w:r>
        <w:separator/>
      </w:r>
    </w:p>
  </w:footnote>
  <w:footnote w:type="continuationSeparator" w:id="0">
    <w:p w:rsidR="00D56727" w:rsidRDefault="00D5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C220F"/>
    <w:multiLevelType w:val="multilevel"/>
    <w:tmpl w:val="920AFD4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53BC252"/>
    <w:multiLevelType w:val="multilevel"/>
    <w:tmpl w:val="CFB606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46393"/>
    <w:multiLevelType w:val="hybridMultilevel"/>
    <w:tmpl w:val="901CF7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33808"/>
    <w:multiLevelType w:val="hybridMultilevel"/>
    <w:tmpl w:val="8D4E712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53E35"/>
    <w:multiLevelType w:val="hybridMultilevel"/>
    <w:tmpl w:val="72F4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B1252"/>
    <w:multiLevelType w:val="hybridMultilevel"/>
    <w:tmpl w:val="54C6B1F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A0043"/>
    <w:multiLevelType w:val="hybridMultilevel"/>
    <w:tmpl w:val="8EC8339A"/>
    <w:lvl w:ilvl="0" w:tplc="16783F88">
      <w:start w:val="6"/>
      <w:numFmt w:val="bullet"/>
      <w:lvlText w:val="-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896469"/>
    <w:multiLevelType w:val="hybridMultilevel"/>
    <w:tmpl w:val="9698C4F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4531A"/>
    <w:multiLevelType w:val="hybridMultilevel"/>
    <w:tmpl w:val="CC88267E"/>
    <w:lvl w:ilvl="0" w:tplc="8356EE3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D7DE3"/>
    <w:multiLevelType w:val="hybridMultilevel"/>
    <w:tmpl w:val="6EF6617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27F71"/>
    <w:multiLevelType w:val="hybridMultilevel"/>
    <w:tmpl w:val="88E43848"/>
    <w:lvl w:ilvl="0" w:tplc="04190005">
      <w:start w:val="1"/>
      <w:numFmt w:val="bullet"/>
      <w:lvlText w:val=""/>
      <w:lvlJc w:val="left"/>
      <w:pPr>
        <w:ind w:left="-28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6" w:tplc="B17EDA6E">
      <w:start w:val="1"/>
      <w:numFmt w:val="decimal"/>
      <w:lvlText w:val="%7.1."/>
      <w:lvlJc w:val="left"/>
      <w:pPr>
        <w:ind w:left="1467" w:hanging="360"/>
      </w:pPr>
      <w:rPr>
        <w:rFonts w:hint="default"/>
      </w:rPr>
    </w:lvl>
    <w:lvl w:ilvl="7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</w:abstractNum>
  <w:abstractNum w:abstractNumId="16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0290E"/>
    <w:multiLevelType w:val="multilevel"/>
    <w:tmpl w:val="B99E78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944E1C"/>
    <w:multiLevelType w:val="hybridMultilevel"/>
    <w:tmpl w:val="7B063510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4334C0"/>
    <w:multiLevelType w:val="hybridMultilevel"/>
    <w:tmpl w:val="B8A06AC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6573D"/>
    <w:multiLevelType w:val="hybridMultilevel"/>
    <w:tmpl w:val="1AA8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E77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CE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F50E15"/>
    <w:multiLevelType w:val="hybridMultilevel"/>
    <w:tmpl w:val="121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73A38C4"/>
    <w:multiLevelType w:val="hybridMultilevel"/>
    <w:tmpl w:val="125001D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046D52"/>
    <w:multiLevelType w:val="hybridMultilevel"/>
    <w:tmpl w:val="44A61AA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F57371"/>
    <w:multiLevelType w:val="hybridMultilevel"/>
    <w:tmpl w:val="EACE82D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6B61D2"/>
    <w:multiLevelType w:val="hybridMultilevel"/>
    <w:tmpl w:val="23780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061"/>
    <w:multiLevelType w:val="hybridMultilevel"/>
    <w:tmpl w:val="A842947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0BC"/>
    <w:multiLevelType w:val="hybridMultilevel"/>
    <w:tmpl w:val="C56414E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44"/>
  </w:num>
  <w:num w:numId="5">
    <w:abstractNumId w:val="39"/>
  </w:num>
  <w:num w:numId="6">
    <w:abstractNumId w:val="15"/>
  </w:num>
  <w:num w:numId="7">
    <w:abstractNumId w:val="7"/>
  </w:num>
  <w:num w:numId="8">
    <w:abstractNumId w:val="6"/>
  </w:num>
  <w:num w:numId="9">
    <w:abstractNumId w:val="40"/>
  </w:num>
  <w:num w:numId="10">
    <w:abstractNumId w:val="41"/>
  </w:num>
  <w:num w:numId="11">
    <w:abstractNumId w:val="18"/>
  </w:num>
  <w:num w:numId="12">
    <w:abstractNumId w:val="9"/>
  </w:num>
  <w:num w:numId="13">
    <w:abstractNumId w:val="25"/>
  </w:num>
  <w:num w:numId="14">
    <w:abstractNumId w:val="43"/>
  </w:num>
  <w:num w:numId="15">
    <w:abstractNumId w:val="2"/>
  </w:num>
  <w:num w:numId="16">
    <w:abstractNumId w:val="45"/>
  </w:num>
  <w:num w:numId="17">
    <w:abstractNumId w:val="14"/>
  </w:num>
  <w:num w:numId="18">
    <w:abstractNumId w:val="42"/>
  </w:num>
  <w:num w:numId="19">
    <w:abstractNumId w:val="13"/>
  </w:num>
  <w:num w:numId="20">
    <w:abstractNumId w:val="20"/>
  </w:num>
  <w:num w:numId="21">
    <w:abstractNumId w:val="12"/>
  </w:num>
  <w:num w:numId="22">
    <w:abstractNumId w:val="10"/>
  </w:num>
  <w:num w:numId="23">
    <w:abstractNumId w:val="21"/>
  </w:num>
  <w:num w:numId="24">
    <w:abstractNumId w:val="36"/>
  </w:num>
  <w:num w:numId="25">
    <w:abstractNumId w:val="11"/>
  </w:num>
  <w:num w:numId="26">
    <w:abstractNumId w:val="5"/>
  </w:num>
  <w:num w:numId="27">
    <w:abstractNumId w:val="48"/>
  </w:num>
  <w:num w:numId="28">
    <w:abstractNumId w:val="19"/>
  </w:num>
  <w:num w:numId="29">
    <w:abstractNumId w:val="26"/>
  </w:num>
  <w:num w:numId="30">
    <w:abstractNumId w:val="16"/>
  </w:num>
  <w:num w:numId="31">
    <w:abstractNumId w:val="8"/>
  </w:num>
  <w:num w:numId="32">
    <w:abstractNumId w:val="37"/>
  </w:num>
  <w:num w:numId="33">
    <w:abstractNumId w:val="33"/>
  </w:num>
  <w:num w:numId="34">
    <w:abstractNumId w:val="22"/>
  </w:num>
  <w:num w:numId="35">
    <w:abstractNumId w:val="35"/>
  </w:num>
  <w:num w:numId="36">
    <w:abstractNumId w:val="34"/>
  </w:num>
  <w:num w:numId="37">
    <w:abstractNumId w:val="47"/>
  </w:num>
  <w:num w:numId="38">
    <w:abstractNumId w:val="46"/>
  </w:num>
  <w:num w:numId="39">
    <w:abstractNumId w:val="4"/>
  </w:num>
  <w:num w:numId="40">
    <w:abstractNumId w:val="38"/>
  </w:num>
  <w:num w:numId="41">
    <w:abstractNumId w:val="32"/>
  </w:num>
  <w:num w:numId="42">
    <w:abstractNumId w:val="30"/>
  </w:num>
  <w:num w:numId="43">
    <w:abstractNumId w:val="31"/>
  </w:num>
  <w:num w:numId="44">
    <w:abstractNumId w:val="27"/>
  </w:num>
  <w:num w:numId="45">
    <w:abstractNumId w:val="3"/>
  </w:num>
  <w:num w:numId="46">
    <w:abstractNumId w:val="29"/>
  </w:num>
  <w:num w:numId="47">
    <w:abstractNumId w:val="28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4"/>
    <w:rsid w:val="000012EB"/>
    <w:rsid w:val="000021A4"/>
    <w:rsid w:val="00007E2C"/>
    <w:rsid w:val="00047678"/>
    <w:rsid w:val="0007573F"/>
    <w:rsid w:val="000B33BF"/>
    <w:rsid w:val="000C4FD0"/>
    <w:rsid w:val="000D2054"/>
    <w:rsid w:val="00124084"/>
    <w:rsid w:val="00156FB8"/>
    <w:rsid w:val="00164430"/>
    <w:rsid w:val="00164D3D"/>
    <w:rsid w:val="00185F5E"/>
    <w:rsid w:val="001B1C82"/>
    <w:rsid w:val="001C65AB"/>
    <w:rsid w:val="001C6877"/>
    <w:rsid w:val="001F68E6"/>
    <w:rsid w:val="002016D6"/>
    <w:rsid w:val="0023198C"/>
    <w:rsid w:val="00233CC9"/>
    <w:rsid w:val="00251635"/>
    <w:rsid w:val="00267519"/>
    <w:rsid w:val="0028310D"/>
    <w:rsid w:val="00290EF4"/>
    <w:rsid w:val="002C77EC"/>
    <w:rsid w:val="002F1AD8"/>
    <w:rsid w:val="002F58B3"/>
    <w:rsid w:val="003351A9"/>
    <w:rsid w:val="00335B4D"/>
    <w:rsid w:val="003778C3"/>
    <w:rsid w:val="003B2AFF"/>
    <w:rsid w:val="003C01F4"/>
    <w:rsid w:val="003D1081"/>
    <w:rsid w:val="003E550E"/>
    <w:rsid w:val="0049630C"/>
    <w:rsid w:val="004A18F0"/>
    <w:rsid w:val="004A3A25"/>
    <w:rsid w:val="004C3A0E"/>
    <w:rsid w:val="004D2A62"/>
    <w:rsid w:val="004F4FFD"/>
    <w:rsid w:val="00520F7E"/>
    <w:rsid w:val="00537C16"/>
    <w:rsid w:val="00541E8F"/>
    <w:rsid w:val="00593F65"/>
    <w:rsid w:val="005D3583"/>
    <w:rsid w:val="005D5385"/>
    <w:rsid w:val="00646580"/>
    <w:rsid w:val="006475BB"/>
    <w:rsid w:val="006506AA"/>
    <w:rsid w:val="00687072"/>
    <w:rsid w:val="0069580B"/>
    <w:rsid w:val="006C0D4F"/>
    <w:rsid w:val="006F0A1E"/>
    <w:rsid w:val="00702D02"/>
    <w:rsid w:val="00723E5A"/>
    <w:rsid w:val="0074030A"/>
    <w:rsid w:val="0079283B"/>
    <w:rsid w:val="00794443"/>
    <w:rsid w:val="007D0720"/>
    <w:rsid w:val="007E3337"/>
    <w:rsid w:val="00802EE7"/>
    <w:rsid w:val="00810D1F"/>
    <w:rsid w:val="00816D6A"/>
    <w:rsid w:val="00843DA9"/>
    <w:rsid w:val="00866938"/>
    <w:rsid w:val="008866C1"/>
    <w:rsid w:val="008C2A95"/>
    <w:rsid w:val="008E6F9D"/>
    <w:rsid w:val="008F33EC"/>
    <w:rsid w:val="008F641C"/>
    <w:rsid w:val="009060BD"/>
    <w:rsid w:val="00920825"/>
    <w:rsid w:val="00922AF2"/>
    <w:rsid w:val="00936930"/>
    <w:rsid w:val="00940E92"/>
    <w:rsid w:val="0095556A"/>
    <w:rsid w:val="00976627"/>
    <w:rsid w:val="00987594"/>
    <w:rsid w:val="00994B47"/>
    <w:rsid w:val="009A17C0"/>
    <w:rsid w:val="009D6328"/>
    <w:rsid w:val="00A1604D"/>
    <w:rsid w:val="00A3367C"/>
    <w:rsid w:val="00A55B2E"/>
    <w:rsid w:val="00A7393E"/>
    <w:rsid w:val="00A776C3"/>
    <w:rsid w:val="00AC5FA9"/>
    <w:rsid w:val="00AF5CB0"/>
    <w:rsid w:val="00B10E1C"/>
    <w:rsid w:val="00B11258"/>
    <w:rsid w:val="00B14B5D"/>
    <w:rsid w:val="00B23634"/>
    <w:rsid w:val="00B36902"/>
    <w:rsid w:val="00B4178D"/>
    <w:rsid w:val="00B568F7"/>
    <w:rsid w:val="00B604ED"/>
    <w:rsid w:val="00B60B83"/>
    <w:rsid w:val="00BA27C3"/>
    <w:rsid w:val="00C12D42"/>
    <w:rsid w:val="00C53C95"/>
    <w:rsid w:val="00C61900"/>
    <w:rsid w:val="00C77AA9"/>
    <w:rsid w:val="00CC56CB"/>
    <w:rsid w:val="00CD113D"/>
    <w:rsid w:val="00CF0504"/>
    <w:rsid w:val="00D14D58"/>
    <w:rsid w:val="00D219CA"/>
    <w:rsid w:val="00D53903"/>
    <w:rsid w:val="00D56727"/>
    <w:rsid w:val="00D63FA5"/>
    <w:rsid w:val="00D7657E"/>
    <w:rsid w:val="00D82532"/>
    <w:rsid w:val="00DD4D03"/>
    <w:rsid w:val="00DF4D84"/>
    <w:rsid w:val="00E052C2"/>
    <w:rsid w:val="00E12598"/>
    <w:rsid w:val="00E42863"/>
    <w:rsid w:val="00E60B15"/>
    <w:rsid w:val="00E64F40"/>
    <w:rsid w:val="00EE2437"/>
    <w:rsid w:val="00EF16C2"/>
    <w:rsid w:val="00F02CE0"/>
    <w:rsid w:val="00F120BD"/>
    <w:rsid w:val="00F414FA"/>
    <w:rsid w:val="00F86910"/>
    <w:rsid w:val="00FC4218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p@rsp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ainst-corrup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gainst-corrupt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pp.ru" TargetMode="External"/><Relationship Id="rId14" Type="http://schemas.openxmlformats.org/officeDocument/2006/relationships/hyperlink" Target="http://www.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B3D1-7F95-4217-AF4A-53FAF8A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user220</cp:lastModifiedBy>
  <cp:revision>2</cp:revision>
  <cp:lastPrinted>2020-03-17T09:02:00Z</cp:lastPrinted>
  <dcterms:created xsi:type="dcterms:W3CDTF">2021-02-25T12:25:00Z</dcterms:created>
  <dcterms:modified xsi:type="dcterms:W3CDTF">2021-02-25T12:25:00Z</dcterms:modified>
</cp:coreProperties>
</file>